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6DD8F" w14:textId="77777777" w:rsidR="00BB3D88" w:rsidRDefault="00D80976">
      <w:pPr>
        <w:pStyle w:val="a4"/>
      </w:pPr>
      <w:r>
        <w:t>Homework_1</w:t>
      </w:r>
    </w:p>
    <w:p w14:paraId="393EAFCF" w14:textId="77777777" w:rsidR="00BB3D88" w:rsidRDefault="00D80976">
      <w:pPr>
        <w:pStyle w:val="Author"/>
      </w:pPr>
      <w:r>
        <w:t>Ruoyuan Qian</w:t>
      </w:r>
    </w:p>
    <w:p w14:paraId="34EB7184" w14:textId="77777777" w:rsidR="00BB3D88" w:rsidRDefault="00D80976">
      <w:pPr>
        <w:pStyle w:val="a6"/>
      </w:pPr>
      <w:r>
        <w:t>2019/9/17</w:t>
      </w:r>
    </w:p>
    <w:p w14:paraId="476E9C36" w14:textId="77777777" w:rsidR="00BB3D88" w:rsidRDefault="00D80976">
      <w:pPr>
        <w:pStyle w:val="1"/>
      </w:pPr>
      <w:bookmarkStart w:id="0" w:name="problem-1"/>
      <w:r>
        <w:t>Problem 1</w:t>
      </w:r>
      <w:bookmarkEnd w:id="0"/>
    </w:p>
    <w:p w14:paraId="796B937D" w14:textId="77777777" w:rsidR="00BB3D88" w:rsidRDefault="00D80976">
      <w:pPr>
        <w:pStyle w:val="2"/>
      </w:pPr>
      <w:bookmarkStart w:id="1" w:name="a"/>
      <w:r>
        <w:t>a)</w:t>
      </w:r>
      <w:bookmarkEnd w:id="1"/>
    </w:p>
    <w:p w14:paraId="2F061461" w14:textId="70847EA9" w:rsidR="00BB3D88" w:rsidRDefault="00D80976">
      <w:pPr>
        <w:pStyle w:val="FirstParagraph"/>
      </w:pPr>
      <w:r>
        <w:t xml:space="preserve">I found that there are two rows of variable names which may cause some errors when reading the data into R. As a result, I use </w:t>
      </w:r>
      <w:r>
        <w:rPr>
          <w:rStyle w:val="VerbatimChar"/>
        </w:rPr>
        <w:t>skip=</w:t>
      </w:r>
      <w:r>
        <w:t xml:space="preserve"> to skip first row and read others into R.</w:t>
      </w:r>
    </w:p>
    <w:p w14:paraId="25FC1421" w14:textId="018EAA4F" w:rsidR="00C44432" w:rsidRDefault="00C44432" w:rsidP="00C44432">
      <w:pPr>
        <w:pStyle w:val="a0"/>
      </w:pPr>
      <w:r>
        <w:t xml:space="preserve">This is the </w:t>
      </w:r>
      <w:r w:rsidR="00DD15E5">
        <w:t>summary of d</w:t>
      </w:r>
      <w:r w:rsidR="00DD15E5" w:rsidRPr="00087CEF">
        <w:t>emographics and co-morbidities</w:t>
      </w:r>
      <w:r w:rsidR="00DD15E5">
        <w:t xml:space="preserve"> in Excersice.xlsx</w:t>
      </w:r>
      <w:r>
        <w:t>.</w:t>
      </w:r>
    </w:p>
    <w:p w14:paraId="2B0729B4" w14:textId="77777777" w:rsidR="00087CEF" w:rsidRDefault="00087CEF" w:rsidP="00C44432">
      <w:pPr>
        <w:pStyle w:val="a0"/>
      </w:pPr>
    </w:p>
    <w:p w14:paraId="535DA1B3" w14:textId="3DEBAD5F" w:rsidR="0029667E" w:rsidRDefault="00087CEF" w:rsidP="00C44432">
      <w:pPr>
        <w:pStyle w:val="a0"/>
      </w:pPr>
      <w:r w:rsidRPr="00087CEF">
        <w:t>Table 1: Demographics and co-morbidities</w:t>
      </w:r>
    </w:p>
    <w:p w14:paraId="33D047DB" w14:textId="191CFE4C" w:rsidR="00BB3D88" w:rsidRDefault="00D80976">
      <w:pPr>
        <w:pStyle w:val="SourceCode"/>
        <w:rPr>
          <w:rStyle w:val="VerbatimChar"/>
        </w:rPr>
      </w:pPr>
      <w:r>
        <w:rPr>
          <w:rStyle w:val="VerbatimChar"/>
        </w:rPr>
        <w:t xml:space="preserve">## </w:t>
      </w:r>
      <w:r>
        <w:br/>
      </w:r>
      <w:r>
        <w:rPr>
          <w:rStyle w:val="VerbatimChar"/>
        </w:rPr>
        <w:t xml:space="preserve">## </w:t>
      </w:r>
      <w:r>
        <w:br/>
      </w:r>
      <w:r>
        <w:rPr>
          <w:rStyle w:val="VerbatimChar"/>
        </w:rPr>
        <w:t>## |                    | Control (N=36)  | Intervention (N=36) |</w:t>
      </w:r>
      <w:r>
        <w:br/>
      </w:r>
      <w:r>
        <w:rPr>
          <w:rStyle w:val="VerbatimChar"/>
        </w:rPr>
        <w:t>## |:-------------------|:---------------:|:-------------------:|</w:t>
      </w:r>
      <w:r>
        <w:br/>
      </w:r>
      <w:r>
        <w:rPr>
          <w:rStyle w:val="VerbatimChar"/>
        </w:rPr>
        <w:t>## |Age                 |                 |                     |</w:t>
      </w:r>
      <w:r>
        <w:br/>
      </w:r>
      <w:r>
        <w:rPr>
          <w:rStyle w:val="VerbatimChar"/>
        </w:rPr>
        <w:t>## |-  Mean (SD)        | 51.500 (10.809) |   53.583 (9.581)    |</w:t>
      </w:r>
      <w:r>
        <w:br/>
      </w:r>
      <w:r>
        <w:rPr>
          <w:rStyle w:val="VerbatimChar"/>
        </w:rPr>
        <w:t>## |-  Median           |     51.000      |       55.500        |</w:t>
      </w:r>
      <w:r>
        <w:br/>
      </w:r>
      <w:r>
        <w:rPr>
          <w:rStyle w:val="VerbatimChar"/>
        </w:rPr>
        <w:t>## |Gender              |                 |                     |</w:t>
      </w:r>
      <w:r>
        <w:br/>
      </w:r>
      <w:r>
        <w:rPr>
          <w:rStyle w:val="VerbatimChar"/>
        </w:rPr>
        <w:t>## |-  female           |   20 (55.6%)    |     20 (55.6%)      |</w:t>
      </w:r>
      <w:r>
        <w:br/>
      </w:r>
      <w:r>
        <w:rPr>
          <w:rStyle w:val="VerbatimChar"/>
        </w:rPr>
        <w:t>## |-  male             |   16 (44.4%)    |     16 (44.4%)      |</w:t>
      </w:r>
      <w:r>
        <w:br/>
      </w:r>
      <w:r>
        <w:rPr>
          <w:rStyle w:val="VerbatimChar"/>
        </w:rPr>
        <w:t>## |Race                |                 |                     |</w:t>
      </w:r>
      <w:r>
        <w:br/>
      </w:r>
      <w:r>
        <w:rPr>
          <w:rStyle w:val="VerbatimChar"/>
        </w:rPr>
        <w:t>## |-  African American |   22 (61.1%)    |     31 (86.1%)      |</w:t>
      </w:r>
      <w:r>
        <w:br/>
      </w:r>
      <w:r>
        <w:rPr>
          <w:rStyle w:val="VerbatimChar"/>
        </w:rPr>
        <w:t>## |-  Hispanic         |   14 (38.9%)    |      5 (13.9%)      |</w:t>
      </w:r>
      <w:r>
        <w:br/>
      </w:r>
      <w:r>
        <w:rPr>
          <w:rStyle w:val="VerbatimChar"/>
        </w:rPr>
        <w:t>## |Depression          |                 |                     |</w:t>
      </w:r>
      <w:r>
        <w:br/>
      </w:r>
      <w:r>
        <w:rPr>
          <w:rStyle w:val="VerbatimChar"/>
        </w:rPr>
        <w:t>## |-  no               |   23 (63.9%)    |     26 (72.2%)      |</w:t>
      </w:r>
      <w:r>
        <w:br/>
      </w:r>
      <w:r>
        <w:rPr>
          <w:rStyle w:val="VerbatimChar"/>
        </w:rPr>
        <w:t>## |-  yes              |   13 (36.1%)    |     10 (27.8%)      |</w:t>
      </w:r>
      <w:r>
        <w:br/>
      </w:r>
      <w:r>
        <w:rPr>
          <w:rStyle w:val="VerbatimChar"/>
        </w:rPr>
        <w:t>## |Smokes              |                 |                     |</w:t>
      </w:r>
      <w:r>
        <w:br/>
      </w:r>
      <w:r>
        <w:rPr>
          <w:rStyle w:val="VerbatimChar"/>
        </w:rPr>
        <w:t>## |-  no               |   31 (86.1%)    |     31 (86.1%)      |</w:t>
      </w:r>
      <w:r>
        <w:br/>
      </w:r>
      <w:r>
        <w:rPr>
          <w:rStyle w:val="VerbatimChar"/>
        </w:rPr>
        <w:t>## |-  yes              |    5 (13.9%)    |      5 (13.9%)      |</w:t>
      </w:r>
      <w:r>
        <w:br/>
      </w:r>
      <w:r>
        <w:rPr>
          <w:rStyle w:val="VerbatimChar"/>
        </w:rPr>
        <w:t>## |HTN                 |                 |                     |</w:t>
      </w:r>
      <w:r>
        <w:br/>
      </w:r>
      <w:r>
        <w:rPr>
          <w:rStyle w:val="VerbatimChar"/>
        </w:rPr>
        <w:t>## |-  no               |   16 (44.4%)    |     14 (38.9%)      |</w:t>
      </w:r>
      <w:r>
        <w:br/>
      </w:r>
      <w:r>
        <w:rPr>
          <w:rStyle w:val="VerbatimChar"/>
        </w:rPr>
        <w:t>## |-  yes              |   20 (55.6%)    |     22 (61.1%)      |</w:t>
      </w:r>
      <w:r>
        <w:br/>
      </w:r>
      <w:r>
        <w:rPr>
          <w:rStyle w:val="VerbatimChar"/>
        </w:rPr>
        <w:t>## |T2DM                |                 |                     |</w:t>
      </w:r>
      <w:r>
        <w:br/>
      </w:r>
      <w:r>
        <w:rPr>
          <w:rStyle w:val="VerbatimChar"/>
        </w:rPr>
        <w:t>## |-  no               |   17 (47.2%)    |     23 (63.9%)      |</w:t>
      </w:r>
      <w:r>
        <w:br/>
      </w:r>
      <w:r>
        <w:rPr>
          <w:rStyle w:val="VerbatimChar"/>
        </w:rPr>
        <w:t>## |-  yes              |   19 (52.8%)    |     13 (36.1%)      |</w:t>
      </w:r>
    </w:p>
    <w:p w14:paraId="58615AF9" w14:textId="77777777" w:rsidR="00BB3D88" w:rsidRDefault="00D80976">
      <w:pPr>
        <w:pStyle w:val="2"/>
      </w:pPr>
      <w:bookmarkStart w:id="2" w:name="b"/>
      <w:r>
        <w:lastRenderedPageBreak/>
        <w:t>b)</w:t>
      </w:r>
      <w:bookmarkEnd w:id="2"/>
    </w:p>
    <w:p w14:paraId="29EBE810" w14:textId="56BC1841" w:rsidR="00BB3D88" w:rsidRDefault="00D80976">
      <w:pPr>
        <w:pStyle w:val="3"/>
      </w:pPr>
      <w:bookmarkStart w:id="3" w:name="b-i"/>
      <w:r>
        <w:t>b) i</w:t>
      </w:r>
      <w:bookmarkEnd w:id="3"/>
    </w:p>
    <w:p w14:paraId="08FB5154" w14:textId="6709EE90" w:rsidR="00C44432" w:rsidRDefault="00C44432" w:rsidP="00C44432">
      <w:pPr>
        <w:pStyle w:val="a0"/>
        <w:rPr>
          <w:lang w:eastAsia="zh-CN"/>
        </w:rPr>
      </w:pPr>
      <w:r>
        <w:rPr>
          <w:rFonts w:hint="eastAsia"/>
          <w:lang w:eastAsia="zh-CN"/>
        </w:rPr>
        <w:t>T</w:t>
      </w:r>
      <w:r>
        <w:rPr>
          <w:lang w:eastAsia="zh-CN"/>
        </w:rPr>
        <w:t xml:space="preserve">he </w:t>
      </w:r>
      <w:r w:rsidRPr="005C202C">
        <w:rPr>
          <w:lang w:eastAsia="zh-CN"/>
        </w:rPr>
        <w:t xml:space="preserve">table </w:t>
      </w:r>
      <w:r w:rsidR="00087CEF" w:rsidRPr="005C202C">
        <w:rPr>
          <w:lang w:eastAsia="zh-CN"/>
        </w:rPr>
        <w:t>2.1</w:t>
      </w:r>
      <w:r w:rsidR="00087CEF">
        <w:rPr>
          <w:lang w:eastAsia="zh-CN"/>
        </w:rPr>
        <w:t xml:space="preserve"> </w:t>
      </w:r>
      <w:r w:rsidR="007E3C48">
        <w:rPr>
          <w:lang w:eastAsia="zh-CN"/>
        </w:rPr>
        <w:t>showing below</w:t>
      </w:r>
      <w:r>
        <w:rPr>
          <w:lang w:eastAsia="zh-CN"/>
        </w:rPr>
        <w:t xml:space="preserve"> is what I drew through R, </w:t>
      </w:r>
      <w:r w:rsidR="00087CEF">
        <w:rPr>
          <w:lang w:eastAsia="zh-CN"/>
        </w:rPr>
        <w:t>and</w:t>
      </w:r>
      <w:r>
        <w:rPr>
          <w:lang w:eastAsia="zh-CN"/>
        </w:rPr>
        <w:t xml:space="preserve"> I save it  as </w:t>
      </w:r>
      <w:r w:rsidR="007E3C48">
        <w:rPr>
          <w:lang w:eastAsia="zh-CN"/>
        </w:rPr>
        <w:t xml:space="preserve"> “</w:t>
      </w:r>
      <w:r>
        <w:rPr>
          <w:lang w:eastAsia="zh-CN"/>
        </w:rPr>
        <w:t>.csv</w:t>
      </w:r>
      <w:r w:rsidR="007E3C48">
        <w:rPr>
          <w:lang w:eastAsia="zh-CN"/>
        </w:rPr>
        <w:t xml:space="preserve">” </w:t>
      </w:r>
      <w:r w:rsidR="00087CEF">
        <w:rPr>
          <w:lang w:eastAsia="zh-CN"/>
        </w:rPr>
        <w:t xml:space="preserve"> file as well</w:t>
      </w:r>
      <w:r>
        <w:rPr>
          <w:lang w:eastAsia="zh-CN"/>
        </w:rPr>
        <w:t xml:space="preserve">, </w:t>
      </w:r>
      <w:r w:rsidR="00087CEF">
        <w:rPr>
          <w:lang w:eastAsia="zh-CN"/>
        </w:rPr>
        <w:t xml:space="preserve">but </w:t>
      </w:r>
      <w:r>
        <w:rPr>
          <w:lang w:eastAsia="zh-CN"/>
        </w:rPr>
        <w:t>it is not very readable, so I edited it by Excel and made the table 2.</w:t>
      </w:r>
      <w:r w:rsidR="00087CEF">
        <w:rPr>
          <w:lang w:eastAsia="zh-CN"/>
        </w:rPr>
        <w:t>2.</w:t>
      </w:r>
    </w:p>
    <w:p w14:paraId="4D3EA1B1" w14:textId="76CDD186" w:rsidR="0029667E" w:rsidRDefault="0029667E" w:rsidP="00C44432">
      <w:pPr>
        <w:pStyle w:val="a0"/>
        <w:rPr>
          <w:lang w:eastAsia="zh-CN"/>
        </w:rPr>
      </w:pPr>
    </w:p>
    <w:p w14:paraId="50EBF3CB" w14:textId="64FDF106" w:rsidR="0029667E" w:rsidRPr="00C44432" w:rsidRDefault="0029667E" w:rsidP="00C44432">
      <w:pPr>
        <w:pStyle w:val="a0"/>
        <w:rPr>
          <w:lang w:eastAsia="zh-CN"/>
        </w:rPr>
      </w:pPr>
      <w:r>
        <w:rPr>
          <w:lang w:eastAsia="zh-CN"/>
        </w:rPr>
        <w:t>Table 2.1</w:t>
      </w:r>
      <w:r w:rsidR="00087CEF">
        <w:rPr>
          <w:lang w:eastAsia="zh-CN"/>
        </w:rPr>
        <w:t>:</w:t>
      </w:r>
      <w:r>
        <w:rPr>
          <w:lang w:eastAsia="zh-CN"/>
        </w:rPr>
        <w:t xml:space="preserve"> Pre/Post changes in metabolic parameters (output directly from Rstudio)</w:t>
      </w:r>
    </w:p>
    <w:p w14:paraId="5B8B9161" w14:textId="63583E9C" w:rsidR="00BB3D88" w:rsidRDefault="00D80976">
      <w:pPr>
        <w:pStyle w:val="SourceCode"/>
        <w:rPr>
          <w:rStyle w:val="VerbatimChar"/>
        </w:rPr>
      </w:pPr>
      <w:r>
        <w:rPr>
          <w:rStyle w:val="VerbatimChar"/>
        </w:rPr>
        <w:t>##     X Variable       Intervention.N.36      Intervention.N.36.</w:t>
      </w:r>
      <w:r>
        <w:br/>
      </w:r>
      <w:r>
        <w:rPr>
          <w:rStyle w:val="VerbatimChar"/>
        </w:rPr>
        <w:t>## 1   1                         baseline               six month</w:t>
      </w:r>
      <w:r>
        <w:br/>
      </w:r>
      <w:r>
        <w:rPr>
          <w:rStyle w:val="VerbatimChar"/>
        </w:rPr>
        <w:t>## 2   2      SYS          133.64 ± 15.11          125.06 ± 15.44</w:t>
      </w:r>
      <w:r>
        <w:br/>
      </w:r>
      <w:r>
        <w:rPr>
          <w:rStyle w:val="VerbatimChar"/>
        </w:rPr>
        <w:t>## 3   3              134 ( 121.5 - 144 )    124 ( 116.75 - 135 )</w:t>
      </w:r>
      <w:r>
        <w:br/>
      </w:r>
      <w:r>
        <w:rPr>
          <w:rStyle w:val="VerbatimChar"/>
        </w:rPr>
        <w:t xml:space="preserve">## 4   4    delta           -8.58 ± 17.17                        </w:t>
      </w:r>
      <w:r>
        <w:br/>
      </w:r>
      <w:r>
        <w:rPr>
          <w:rStyle w:val="VerbatimChar"/>
        </w:rPr>
        <w:t>## 5   5      DIA            75.44 ± 9.10           74.58 ± 12.37</w:t>
      </w:r>
      <w:r>
        <w:br/>
      </w:r>
      <w:r>
        <w:rPr>
          <w:rStyle w:val="VerbatimChar"/>
        </w:rPr>
        <w:t>## 6   6                 74.5 ( 69 - 81 )        74 ( 65 - 80.5 )</w:t>
      </w:r>
      <w:r>
        <w:br/>
      </w:r>
      <w:r>
        <w:rPr>
          <w:rStyle w:val="VerbatimChar"/>
        </w:rPr>
        <w:t xml:space="preserve">## 7   7    delta            -0.86 ± 8.30                        </w:t>
      </w:r>
      <w:r>
        <w:br/>
      </w:r>
      <w:r>
        <w:rPr>
          <w:rStyle w:val="VerbatimChar"/>
        </w:rPr>
        <w:t>## 8   8      BMI            31.97 ± 6.58            31.21 ± 6.13</w:t>
      </w:r>
      <w:r>
        <w:br/>
      </w:r>
      <w:r>
        <w:rPr>
          <w:rStyle w:val="VerbatimChar"/>
        </w:rPr>
        <w:t>## 9   9          29.25 ( 27.375 - 34.1 ) 29.15 ( 26.8 - 32.875 )</w:t>
      </w:r>
      <w:r>
        <w:br/>
      </w:r>
      <w:r>
        <w:rPr>
          <w:rStyle w:val="VerbatimChar"/>
        </w:rPr>
        <w:t xml:space="preserve">## 10 10    delta            -0.76 ± 1.44                        </w:t>
      </w:r>
      <w:r>
        <w:br/>
      </w:r>
      <w:r>
        <w:rPr>
          <w:rStyle w:val="VerbatimChar"/>
        </w:rPr>
        <w:t>## 11 11      HDL           50.17 ± 11.85           50.17 ± 13.07</w:t>
      </w:r>
      <w:r>
        <w:br/>
      </w:r>
      <w:r>
        <w:rPr>
          <w:rStyle w:val="VerbatimChar"/>
        </w:rPr>
        <w:t>## 12 12                 47.5 ( 40 - 60 )     48.5 ( 43 - 60.25 )</w:t>
      </w:r>
      <w:r>
        <w:br/>
      </w:r>
      <w:r>
        <w:rPr>
          <w:rStyle w:val="VerbatimChar"/>
        </w:rPr>
        <w:t xml:space="preserve">## 13 13    delta             0.00 ± 8.09                        </w:t>
      </w:r>
      <w:r>
        <w:br/>
      </w:r>
      <w:r>
        <w:rPr>
          <w:rStyle w:val="VerbatimChar"/>
        </w:rPr>
        <w:t>## 14 14      LDL          102.94 ± 33.84          100.50 ± 30.39</w:t>
      </w:r>
      <w:r>
        <w:br/>
      </w:r>
      <w:r>
        <w:rPr>
          <w:rStyle w:val="VerbatimChar"/>
        </w:rPr>
        <w:t>## 15 15            109 ( 75.25 - 124.5 )     95 ( 76.5 - 120.5 )</w:t>
      </w:r>
      <w:r>
        <w:br/>
      </w:r>
      <w:r>
        <w:rPr>
          <w:rStyle w:val="VerbatimChar"/>
        </w:rPr>
        <w:t xml:space="preserve">## 16 16    delta           -2.44 ± 21.27                        </w:t>
      </w:r>
      <w:r>
        <w:br/>
      </w:r>
      <w:r>
        <w:rPr>
          <w:rStyle w:val="VerbatimChar"/>
        </w:rPr>
        <w:t>## 17 17      GLU          116.64 ± 74.91          107.14 ± 38.65</w:t>
      </w:r>
      <w:r>
        <w:br/>
      </w:r>
      <w:r>
        <w:rPr>
          <w:rStyle w:val="VerbatimChar"/>
        </w:rPr>
        <w:t>## 18 18             94 ( 83.75 - 116.5 )    95.5 ( 85.25 - 129 )</w:t>
      </w:r>
      <w:r>
        <w:br/>
      </w:r>
      <w:r>
        <w:rPr>
          <w:rStyle w:val="VerbatimChar"/>
        </w:rPr>
        <w:t xml:space="preserve">## 19 19    delta           -9.50 ± 57.36                        </w:t>
      </w:r>
      <w:r>
        <w:br/>
      </w:r>
      <w:r>
        <w:rPr>
          <w:rStyle w:val="VerbatimChar"/>
        </w:rPr>
        <w:t>##              Control.N.36            Control.N.36.</w:t>
      </w:r>
      <w:r>
        <w:br/>
      </w:r>
      <w:r>
        <w:rPr>
          <w:rStyle w:val="VerbatimChar"/>
        </w:rPr>
        <w:t>## 1                baseline                six month</w:t>
      </w:r>
      <w:r>
        <w:br/>
      </w:r>
      <w:r>
        <w:rPr>
          <w:rStyle w:val="VerbatimChar"/>
        </w:rPr>
        <w:t>## 2          133.47 ± 15.94           130.14 ± 14.35</w:t>
      </w:r>
      <w:r>
        <w:br/>
      </w:r>
      <w:r>
        <w:rPr>
          <w:rStyle w:val="VerbatimChar"/>
        </w:rPr>
        <w:t>## 3   131 ( 122.5 - 143.5 )      127.5 ( 120 - 140 )</w:t>
      </w:r>
      <w:r>
        <w:br/>
      </w:r>
      <w:r>
        <w:rPr>
          <w:rStyle w:val="VerbatimChar"/>
        </w:rPr>
        <w:t xml:space="preserve">## 4           -3.33 ± 14.81                         </w:t>
      </w:r>
      <w:r>
        <w:br/>
      </w:r>
      <w:r>
        <w:rPr>
          <w:rStyle w:val="VerbatimChar"/>
        </w:rPr>
        <w:t>## 5            77.14 ± 9.66             75.69 ± 7.54</w:t>
      </w:r>
      <w:r>
        <w:br/>
      </w:r>
      <w:r>
        <w:rPr>
          <w:rStyle w:val="VerbatimChar"/>
        </w:rPr>
        <w:t>## 6       76 ( 68.75 - 85 )         76.5 ( 69 - 82 )</w:t>
      </w:r>
      <w:r>
        <w:br/>
      </w:r>
      <w:r>
        <w:rPr>
          <w:rStyle w:val="VerbatimChar"/>
        </w:rPr>
        <w:t xml:space="preserve">## 7           -1.44 ± 10.11                         </w:t>
      </w:r>
      <w:r>
        <w:br/>
      </w:r>
      <w:r>
        <w:rPr>
          <w:rStyle w:val="VerbatimChar"/>
        </w:rPr>
        <w:t>## 8            34.23 ± 6.16             34.51 ± 5.97</w:t>
      </w:r>
      <w:r>
        <w:br/>
      </w:r>
      <w:r>
        <w:rPr>
          <w:rStyle w:val="VerbatimChar"/>
        </w:rPr>
        <w:t>## 9  33.4 ( 29.6 - 37.575 ) 33.05 ( 30.425 - 37.55 )</w:t>
      </w:r>
      <w:r>
        <w:br/>
      </w:r>
      <w:r>
        <w:rPr>
          <w:rStyle w:val="VerbatimChar"/>
        </w:rPr>
        <w:t xml:space="preserve">## 10            0.28 ± 0.97                         </w:t>
      </w:r>
      <w:r>
        <w:br/>
      </w:r>
      <w:r>
        <w:rPr>
          <w:rStyle w:val="VerbatimChar"/>
        </w:rPr>
        <w:t>## 11          48.33 ± 13.70            45.19 ± 10.78</w:t>
      </w:r>
      <w:r>
        <w:br/>
      </w:r>
      <w:r>
        <w:rPr>
          <w:rStyle w:val="VerbatimChar"/>
        </w:rPr>
        <w:t>## 12    43.5 ( 39 - 54.25 )         43.5 ( 38 - 52 )</w:t>
      </w:r>
      <w:r>
        <w:br/>
      </w:r>
      <w:r>
        <w:rPr>
          <w:rStyle w:val="VerbatimChar"/>
        </w:rPr>
        <w:t xml:space="preserve">## 13           -3.14 ± 6.91                         </w:t>
      </w:r>
      <w:r>
        <w:br/>
      </w:r>
      <w:r>
        <w:rPr>
          <w:rStyle w:val="VerbatimChar"/>
        </w:rPr>
        <w:t>## 14          99.83 ± 29.06            93.61 ± 27.47</w:t>
      </w:r>
      <w:r>
        <w:br/>
      </w:r>
      <w:r>
        <w:rPr>
          <w:rStyle w:val="VerbatimChar"/>
        </w:rPr>
        <w:t>## 15 104 ( 88.25 - 112.25 )   96.5 ( 77.5 - 110.25 )</w:t>
      </w:r>
      <w:r>
        <w:br/>
      </w:r>
      <w:r>
        <w:rPr>
          <w:rStyle w:val="VerbatimChar"/>
        </w:rPr>
        <w:t xml:space="preserve">## 16          -6.22 ± 23.12                         </w:t>
      </w:r>
      <w:r>
        <w:br/>
      </w:r>
      <w:r>
        <w:rPr>
          <w:rStyle w:val="VerbatimChar"/>
        </w:rPr>
        <w:t>## 17         128.97 ± 73.86           126.61 ± 63.96</w:t>
      </w:r>
      <w:r>
        <w:br/>
      </w:r>
      <w:r>
        <w:rPr>
          <w:rStyle w:val="VerbatimChar"/>
        </w:rPr>
        <w:lastRenderedPageBreak/>
        <w:t>## 18     98 ( 81.75 - 139 )    106.5 ( 85 - 145.75 )</w:t>
      </w:r>
      <w:r>
        <w:br/>
      </w:r>
      <w:r>
        <w:rPr>
          <w:rStyle w:val="VerbatimChar"/>
        </w:rPr>
        <w:t>## 19          -2.36 ± 51.22</w:t>
      </w:r>
    </w:p>
    <w:p w14:paraId="7B4EE47A" w14:textId="77777777" w:rsidR="0029667E" w:rsidRDefault="0029667E" w:rsidP="0029667E">
      <w:pPr>
        <w:pStyle w:val="a0"/>
        <w:rPr>
          <w:lang w:eastAsia="zh-CN"/>
        </w:rPr>
      </w:pPr>
      <w:bookmarkStart w:id="4" w:name="b-ii"/>
    </w:p>
    <w:p w14:paraId="56975B4B" w14:textId="41063615" w:rsidR="0029667E" w:rsidRPr="00DD0459" w:rsidRDefault="0029667E" w:rsidP="0029667E">
      <w:pPr>
        <w:pStyle w:val="a0"/>
        <w:rPr>
          <w:b/>
          <w:bCs/>
          <w:lang w:eastAsia="zh-CN"/>
        </w:rPr>
      </w:pPr>
      <w:r>
        <w:rPr>
          <w:lang w:eastAsia="zh-CN"/>
        </w:rPr>
        <w:t>Table 2.2</w:t>
      </w:r>
      <w:r w:rsidR="00087CEF">
        <w:rPr>
          <w:lang w:eastAsia="zh-CN"/>
        </w:rPr>
        <w:t>:</w:t>
      </w:r>
      <w:r>
        <w:rPr>
          <w:lang w:eastAsia="zh-CN"/>
        </w:rPr>
        <w:t xml:space="preserve"> Pre/Post changes in metabolic parameters (edited by Excel based on Table 2.1)</w:t>
      </w:r>
    </w:p>
    <w:tbl>
      <w:tblPr>
        <w:tblW w:w="10687" w:type="dxa"/>
        <w:tblInd w:w="-798" w:type="dxa"/>
        <w:tblLook w:val="04A0" w:firstRow="1" w:lastRow="0" w:firstColumn="1" w:lastColumn="0" w:noHBand="0" w:noVBand="1"/>
      </w:tblPr>
      <w:tblGrid>
        <w:gridCol w:w="1108"/>
        <w:gridCol w:w="2561"/>
        <w:gridCol w:w="2399"/>
        <w:gridCol w:w="2257"/>
        <w:gridCol w:w="2362"/>
      </w:tblGrid>
      <w:tr w:rsidR="0029667E" w:rsidRPr="00DD0459" w14:paraId="0FE0AA00" w14:textId="77777777" w:rsidTr="00DD0459">
        <w:trPr>
          <w:trHeight w:val="276"/>
        </w:trPr>
        <w:tc>
          <w:tcPr>
            <w:tcW w:w="984" w:type="dxa"/>
            <w:tcBorders>
              <w:top w:val="single" w:sz="18" w:space="0" w:color="auto"/>
              <w:left w:val="nil"/>
              <w:bottom w:val="nil"/>
              <w:right w:val="nil"/>
            </w:tcBorders>
            <w:shd w:val="clear" w:color="auto" w:fill="auto"/>
            <w:vAlign w:val="center"/>
            <w:hideMark/>
          </w:tcPr>
          <w:p w14:paraId="48B9A7FA" w14:textId="77777777"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Variable</w:t>
            </w:r>
          </w:p>
        </w:tc>
        <w:tc>
          <w:tcPr>
            <w:tcW w:w="5025" w:type="dxa"/>
            <w:gridSpan w:val="2"/>
            <w:tcBorders>
              <w:top w:val="single" w:sz="18" w:space="0" w:color="auto"/>
              <w:left w:val="nil"/>
              <w:bottom w:val="single" w:sz="4" w:space="0" w:color="auto"/>
              <w:right w:val="nil"/>
            </w:tcBorders>
            <w:shd w:val="clear" w:color="auto" w:fill="auto"/>
            <w:vAlign w:val="center"/>
            <w:hideMark/>
          </w:tcPr>
          <w:p w14:paraId="3684BDC4" w14:textId="11FCE3C4"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Intervention,N=36</w:t>
            </w:r>
          </w:p>
        </w:tc>
        <w:tc>
          <w:tcPr>
            <w:tcW w:w="4678" w:type="dxa"/>
            <w:gridSpan w:val="2"/>
            <w:tcBorders>
              <w:top w:val="single" w:sz="18" w:space="0" w:color="auto"/>
              <w:left w:val="nil"/>
              <w:bottom w:val="single" w:sz="4" w:space="0" w:color="auto"/>
              <w:right w:val="nil"/>
            </w:tcBorders>
            <w:shd w:val="clear" w:color="auto" w:fill="auto"/>
            <w:vAlign w:val="center"/>
            <w:hideMark/>
          </w:tcPr>
          <w:p w14:paraId="0EDEAEB2" w14:textId="2E589B0F"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Control,N=36</w:t>
            </w:r>
          </w:p>
        </w:tc>
      </w:tr>
      <w:tr w:rsidR="0029667E" w:rsidRPr="00DD0459" w14:paraId="3A372474" w14:textId="77777777" w:rsidTr="00DD15E5">
        <w:trPr>
          <w:trHeight w:val="276"/>
        </w:trPr>
        <w:tc>
          <w:tcPr>
            <w:tcW w:w="984" w:type="dxa"/>
            <w:tcBorders>
              <w:top w:val="single" w:sz="4" w:space="0" w:color="auto"/>
              <w:left w:val="nil"/>
              <w:bottom w:val="single" w:sz="4" w:space="0" w:color="auto"/>
              <w:right w:val="nil"/>
            </w:tcBorders>
            <w:shd w:val="clear" w:color="auto" w:fill="auto"/>
            <w:vAlign w:val="center"/>
            <w:hideMark/>
          </w:tcPr>
          <w:p w14:paraId="38E6727B" w14:textId="77777777"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 xml:space="preserve"> </w:t>
            </w:r>
          </w:p>
        </w:tc>
        <w:tc>
          <w:tcPr>
            <w:tcW w:w="2594" w:type="dxa"/>
            <w:tcBorders>
              <w:top w:val="single" w:sz="4" w:space="0" w:color="auto"/>
              <w:left w:val="nil"/>
              <w:bottom w:val="single" w:sz="4" w:space="0" w:color="auto"/>
              <w:right w:val="single" w:sz="4" w:space="0" w:color="auto"/>
            </w:tcBorders>
            <w:shd w:val="clear" w:color="auto" w:fill="auto"/>
            <w:vAlign w:val="center"/>
            <w:hideMark/>
          </w:tcPr>
          <w:p w14:paraId="7BC2A029" w14:textId="77777777"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baseline</w:t>
            </w: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75009" w14:textId="77777777"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six month</w:t>
            </w:r>
          </w:p>
        </w:tc>
        <w:tc>
          <w:tcPr>
            <w:tcW w:w="2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64EF3" w14:textId="77777777"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baseline</w:t>
            </w:r>
          </w:p>
        </w:tc>
        <w:tc>
          <w:tcPr>
            <w:tcW w:w="2394" w:type="dxa"/>
            <w:tcBorders>
              <w:top w:val="single" w:sz="4" w:space="0" w:color="auto"/>
              <w:left w:val="single" w:sz="4" w:space="0" w:color="auto"/>
              <w:bottom w:val="single" w:sz="4" w:space="0" w:color="auto"/>
              <w:right w:val="nil"/>
            </w:tcBorders>
            <w:shd w:val="clear" w:color="auto" w:fill="auto"/>
            <w:vAlign w:val="center"/>
            <w:hideMark/>
          </w:tcPr>
          <w:p w14:paraId="20DF867D" w14:textId="77777777" w:rsidR="0029667E" w:rsidRPr="00CA7FB3" w:rsidRDefault="0029667E" w:rsidP="0029667E">
            <w:pPr>
              <w:spacing w:after="0"/>
              <w:jc w:val="center"/>
              <w:rPr>
                <w:rFonts w:ascii="等线" w:eastAsia="等线" w:hAnsi="等线" w:cs="宋体"/>
                <w:b/>
                <w:bCs/>
                <w:color w:val="000000"/>
                <w:lang w:eastAsia="zh-CN"/>
              </w:rPr>
            </w:pPr>
            <w:r w:rsidRPr="00CA7FB3">
              <w:rPr>
                <w:rFonts w:ascii="等线" w:eastAsia="等线" w:hAnsi="等线" w:cs="宋体" w:hint="eastAsia"/>
                <w:b/>
                <w:bCs/>
                <w:color w:val="000000"/>
                <w:lang w:eastAsia="zh-CN"/>
              </w:rPr>
              <w:t>six month</w:t>
            </w:r>
          </w:p>
        </w:tc>
      </w:tr>
      <w:tr w:rsidR="0029667E" w:rsidRPr="00DD0459" w14:paraId="1E64BA6C" w14:textId="77777777" w:rsidTr="00DD15E5">
        <w:trPr>
          <w:trHeight w:val="276"/>
        </w:trPr>
        <w:tc>
          <w:tcPr>
            <w:tcW w:w="984" w:type="dxa"/>
            <w:tcBorders>
              <w:top w:val="nil"/>
              <w:left w:val="nil"/>
              <w:bottom w:val="nil"/>
              <w:right w:val="nil"/>
            </w:tcBorders>
            <w:shd w:val="clear" w:color="auto" w:fill="auto"/>
            <w:vAlign w:val="center"/>
            <w:hideMark/>
          </w:tcPr>
          <w:p w14:paraId="707E5512"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SYS</w:t>
            </w:r>
          </w:p>
        </w:tc>
        <w:tc>
          <w:tcPr>
            <w:tcW w:w="2594" w:type="dxa"/>
            <w:tcBorders>
              <w:top w:val="nil"/>
              <w:left w:val="nil"/>
              <w:bottom w:val="nil"/>
              <w:right w:val="nil"/>
            </w:tcBorders>
            <w:shd w:val="clear" w:color="auto" w:fill="auto"/>
            <w:vAlign w:val="center"/>
            <w:hideMark/>
          </w:tcPr>
          <w:p w14:paraId="39929910"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133.64 ± 15.11</w:t>
            </w:r>
          </w:p>
        </w:tc>
        <w:tc>
          <w:tcPr>
            <w:tcW w:w="2431" w:type="dxa"/>
            <w:tcBorders>
              <w:top w:val="nil"/>
              <w:left w:val="nil"/>
              <w:bottom w:val="nil"/>
              <w:right w:val="nil"/>
            </w:tcBorders>
            <w:shd w:val="clear" w:color="auto" w:fill="auto"/>
            <w:vAlign w:val="center"/>
            <w:hideMark/>
          </w:tcPr>
          <w:p w14:paraId="4806C8AA"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125.06 ± 15.44</w:t>
            </w:r>
          </w:p>
        </w:tc>
        <w:tc>
          <w:tcPr>
            <w:tcW w:w="2284" w:type="dxa"/>
            <w:tcBorders>
              <w:top w:val="nil"/>
              <w:left w:val="nil"/>
              <w:bottom w:val="nil"/>
              <w:right w:val="nil"/>
            </w:tcBorders>
            <w:shd w:val="clear" w:color="auto" w:fill="auto"/>
            <w:vAlign w:val="center"/>
            <w:hideMark/>
          </w:tcPr>
          <w:p w14:paraId="474CF10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133.47 ± 15.94</w:t>
            </w:r>
          </w:p>
        </w:tc>
        <w:tc>
          <w:tcPr>
            <w:tcW w:w="2394" w:type="dxa"/>
            <w:tcBorders>
              <w:top w:val="nil"/>
              <w:left w:val="nil"/>
              <w:bottom w:val="nil"/>
              <w:right w:val="nil"/>
            </w:tcBorders>
            <w:shd w:val="clear" w:color="auto" w:fill="auto"/>
            <w:vAlign w:val="center"/>
            <w:hideMark/>
          </w:tcPr>
          <w:p w14:paraId="6DC7A07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130.14 ± 14.35</w:t>
            </w:r>
          </w:p>
        </w:tc>
      </w:tr>
      <w:tr w:rsidR="0029667E" w:rsidRPr="00DD0459" w14:paraId="4DC48627" w14:textId="77777777" w:rsidTr="00DD15E5">
        <w:trPr>
          <w:trHeight w:val="276"/>
        </w:trPr>
        <w:tc>
          <w:tcPr>
            <w:tcW w:w="984" w:type="dxa"/>
            <w:tcBorders>
              <w:top w:val="nil"/>
              <w:left w:val="nil"/>
              <w:bottom w:val="nil"/>
              <w:right w:val="nil"/>
            </w:tcBorders>
            <w:shd w:val="clear" w:color="auto" w:fill="auto"/>
            <w:vAlign w:val="center"/>
            <w:hideMark/>
          </w:tcPr>
          <w:p w14:paraId="19508100"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 xml:space="preserve"> </w:t>
            </w:r>
          </w:p>
        </w:tc>
        <w:tc>
          <w:tcPr>
            <w:tcW w:w="2594" w:type="dxa"/>
            <w:tcBorders>
              <w:top w:val="nil"/>
              <w:left w:val="nil"/>
              <w:bottom w:val="nil"/>
              <w:right w:val="nil"/>
            </w:tcBorders>
            <w:shd w:val="clear" w:color="auto" w:fill="auto"/>
            <w:vAlign w:val="center"/>
            <w:hideMark/>
          </w:tcPr>
          <w:p w14:paraId="4071A694"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134 ( 121.5 - 144 )</w:t>
            </w:r>
          </w:p>
        </w:tc>
        <w:tc>
          <w:tcPr>
            <w:tcW w:w="2431" w:type="dxa"/>
            <w:tcBorders>
              <w:top w:val="nil"/>
              <w:left w:val="nil"/>
              <w:bottom w:val="nil"/>
              <w:right w:val="nil"/>
            </w:tcBorders>
            <w:shd w:val="clear" w:color="auto" w:fill="auto"/>
            <w:vAlign w:val="center"/>
            <w:hideMark/>
          </w:tcPr>
          <w:p w14:paraId="631063D7"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124 ( 116.75 - 135 )</w:t>
            </w:r>
          </w:p>
        </w:tc>
        <w:tc>
          <w:tcPr>
            <w:tcW w:w="2284" w:type="dxa"/>
            <w:tcBorders>
              <w:top w:val="nil"/>
              <w:left w:val="nil"/>
              <w:bottom w:val="nil"/>
              <w:right w:val="nil"/>
            </w:tcBorders>
            <w:shd w:val="clear" w:color="auto" w:fill="auto"/>
            <w:vAlign w:val="center"/>
            <w:hideMark/>
          </w:tcPr>
          <w:p w14:paraId="06D3146A"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131 ( 122.5 - 143.5 )</w:t>
            </w:r>
          </w:p>
        </w:tc>
        <w:tc>
          <w:tcPr>
            <w:tcW w:w="2394" w:type="dxa"/>
            <w:tcBorders>
              <w:top w:val="nil"/>
              <w:left w:val="nil"/>
              <w:bottom w:val="nil"/>
              <w:right w:val="nil"/>
            </w:tcBorders>
            <w:shd w:val="clear" w:color="auto" w:fill="auto"/>
            <w:vAlign w:val="center"/>
            <w:hideMark/>
          </w:tcPr>
          <w:p w14:paraId="6AC2C9CC"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127.5 ( 120 - 140 )</w:t>
            </w:r>
          </w:p>
        </w:tc>
      </w:tr>
      <w:tr w:rsidR="0029667E" w:rsidRPr="00DD0459" w14:paraId="41FCAB6E" w14:textId="77777777" w:rsidTr="00DD15E5">
        <w:trPr>
          <w:trHeight w:val="468"/>
        </w:trPr>
        <w:tc>
          <w:tcPr>
            <w:tcW w:w="984" w:type="dxa"/>
            <w:tcBorders>
              <w:top w:val="nil"/>
              <w:left w:val="nil"/>
              <w:bottom w:val="nil"/>
              <w:right w:val="nil"/>
            </w:tcBorders>
            <w:shd w:val="clear" w:color="auto" w:fill="auto"/>
            <w:vAlign w:val="center"/>
            <w:hideMark/>
          </w:tcPr>
          <w:p w14:paraId="075B675B"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delta</w:t>
            </w:r>
          </w:p>
        </w:tc>
        <w:tc>
          <w:tcPr>
            <w:tcW w:w="5025" w:type="dxa"/>
            <w:gridSpan w:val="2"/>
            <w:tcBorders>
              <w:top w:val="nil"/>
              <w:left w:val="nil"/>
              <w:bottom w:val="nil"/>
              <w:right w:val="nil"/>
            </w:tcBorders>
            <w:shd w:val="clear" w:color="auto" w:fill="auto"/>
            <w:vAlign w:val="center"/>
            <w:hideMark/>
          </w:tcPr>
          <w:p w14:paraId="74E6F1BA" w14:textId="068D6D0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-8.58 ± 17.17</w:t>
            </w:r>
          </w:p>
        </w:tc>
        <w:tc>
          <w:tcPr>
            <w:tcW w:w="4678" w:type="dxa"/>
            <w:gridSpan w:val="2"/>
            <w:tcBorders>
              <w:top w:val="nil"/>
              <w:left w:val="nil"/>
              <w:bottom w:val="nil"/>
              <w:right w:val="nil"/>
            </w:tcBorders>
            <w:shd w:val="clear" w:color="auto" w:fill="auto"/>
            <w:vAlign w:val="center"/>
            <w:hideMark/>
          </w:tcPr>
          <w:p w14:paraId="2060F0A5" w14:textId="59A896A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-3.33 ± 14.81</w:t>
            </w:r>
          </w:p>
        </w:tc>
      </w:tr>
      <w:tr w:rsidR="0029667E" w:rsidRPr="00DD0459" w14:paraId="5224B494" w14:textId="77777777" w:rsidTr="00DD15E5">
        <w:trPr>
          <w:trHeight w:val="276"/>
        </w:trPr>
        <w:tc>
          <w:tcPr>
            <w:tcW w:w="984" w:type="dxa"/>
            <w:tcBorders>
              <w:top w:val="nil"/>
              <w:left w:val="nil"/>
              <w:bottom w:val="nil"/>
              <w:right w:val="nil"/>
            </w:tcBorders>
            <w:shd w:val="clear" w:color="auto" w:fill="auto"/>
            <w:vAlign w:val="center"/>
            <w:hideMark/>
          </w:tcPr>
          <w:p w14:paraId="15496B5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DIA</w:t>
            </w:r>
          </w:p>
        </w:tc>
        <w:tc>
          <w:tcPr>
            <w:tcW w:w="2594" w:type="dxa"/>
            <w:tcBorders>
              <w:top w:val="nil"/>
              <w:left w:val="nil"/>
              <w:bottom w:val="nil"/>
              <w:right w:val="nil"/>
            </w:tcBorders>
            <w:shd w:val="clear" w:color="auto" w:fill="auto"/>
            <w:vAlign w:val="center"/>
            <w:hideMark/>
          </w:tcPr>
          <w:p w14:paraId="3CA87E71"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75.44 ± 9.10</w:t>
            </w:r>
          </w:p>
        </w:tc>
        <w:tc>
          <w:tcPr>
            <w:tcW w:w="2431" w:type="dxa"/>
            <w:tcBorders>
              <w:top w:val="nil"/>
              <w:left w:val="nil"/>
              <w:bottom w:val="nil"/>
              <w:right w:val="nil"/>
            </w:tcBorders>
            <w:shd w:val="clear" w:color="auto" w:fill="auto"/>
            <w:vAlign w:val="center"/>
            <w:hideMark/>
          </w:tcPr>
          <w:p w14:paraId="27077C9C"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74.58 ± 12.37</w:t>
            </w:r>
          </w:p>
        </w:tc>
        <w:tc>
          <w:tcPr>
            <w:tcW w:w="2284" w:type="dxa"/>
            <w:tcBorders>
              <w:top w:val="nil"/>
              <w:left w:val="nil"/>
              <w:bottom w:val="nil"/>
              <w:right w:val="nil"/>
            </w:tcBorders>
            <w:shd w:val="clear" w:color="auto" w:fill="auto"/>
            <w:vAlign w:val="center"/>
            <w:hideMark/>
          </w:tcPr>
          <w:p w14:paraId="6544320E"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77.14 ± 9.66</w:t>
            </w:r>
          </w:p>
        </w:tc>
        <w:tc>
          <w:tcPr>
            <w:tcW w:w="2394" w:type="dxa"/>
            <w:tcBorders>
              <w:top w:val="nil"/>
              <w:left w:val="nil"/>
              <w:bottom w:val="nil"/>
              <w:right w:val="nil"/>
            </w:tcBorders>
            <w:shd w:val="clear" w:color="auto" w:fill="auto"/>
            <w:vAlign w:val="center"/>
            <w:hideMark/>
          </w:tcPr>
          <w:p w14:paraId="04412492"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75.69 ± 7.54</w:t>
            </w:r>
          </w:p>
        </w:tc>
      </w:tr>
      <w:tr w:rsidR="0029667E" w:rsidRPr="00DD0459" w14:paraId="1EF39602" w14:textId="77777777" w:rsidTr="00DD15E5">
        <w:trPr>
          <w:trHeight w:val="276"/>
        </w:trPr>
        <w:tc>
          <w:tcPr>
            <w:tcW w:w="984" w:type="dxa"/>
            <w:tcBorders>
              <w:top w:val="nil"/>
              <w:left w:val="nil"/>
              <w:bottom w:val="nil"/>
              <w:right w:val="nil"/>
            </w:tcBorders>
            <w:shd w:val="clear" w:color="auto" w:fill="auto"/>
            <w:vAlign w:val="center"/>
            <w:hideMark/>
          </w:tcPr>
          <w:p w14:paraId="65306CC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 xml:space="preserve"> </w:t>
            </w:r>
          </w:p>
        </w:tc>
        <w:tc>
          <w:tcPr>
            <w:tcW w:w="2594" w:type="dxa"/>
            <w:tcBorders>
              <w:top w:val="nil"/>
              <w:left w:val="nil"/>
              <w:bottom w:val="nil"/>
              <w:right w:val="nil"/>
            </w:tcBorders>
            <w:shd w:val="clear" w:color="auto" w:fill="auto"/>
            <w:vAlign w:val="center"/>
            <w:hideMark/>
          </w:tcPr>
          <w:p w14:paraId="0DCAE8EA"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74.5 ( 69 - 81 )</w:t>
            </w:r>
          </w:p>
        </w:tc>
        <w:tc>
          <w:tcPr>
            <w:tcW w:w="2431" w:type="dxa"/>
            <w:tcBorders>
              <w:top w:val="nil"/>
              <w:left w:val="nil"/>
              <w:bottom w:val="nil"/>
              <w:right w:val="nil"/>
            </w:tcBorders>
            <w:shd w:val="clear" w:color="auto" w:fill="auto"/>
            <w:vAlign w:val="center"/>
            <w:hideMark/>
          </w:tcPr>
          <w:p w14:paraId="3C5616D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74 ( 65 - 80.5 )</w:t>
            </w:r>
          </w:p>
        </w:tc>
        <w:tc>
          <w:tcPr>
            <w:tcW w:w="2284" w:type="dxa"/>
            <w:tcBorders>
              <w:top w:val="nil"/>
              <w:left w:val="nil"/>
              <w:bottom w:val="nil"/>
              <w:right w:val="nil"/>
            </w:tcBorders>
            <w:shd w:val="clear" w:color="auto" w:fill="auto"/>
            <w:vAlign w:val="center"/>
            <w:hideMark/>
          </w:tcPr>
          <w:p w14:paraId="4DB670DF"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76 ( 68.75 - 85 )</w:t>
            </w:r>
          </w:p>
        </w:tc>
        <w:tc>
          <w:tcPr>
            <w:tcW w:w="2394" w:type="dxa"/>
            <w:tcBorders>
              <w:top w:val="nil"/>
              <w:left w:val="nil"/>
              <w:bottom w:val="nil"/>
              <w:right w:val="nil"/>
            </w:tcBorders>
            <w:shd w:val="clear" w:color="auto" w:fill="auto"/>
            <w:vAlign w:val="center"/>
            <w:hideMark/>
          </w:tcPr>
          <w:p w14:paraId="6B14FB24"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76.5 ( 69 - 82 )</w:t>
            </w:r>
          </w:p>
        </w:tc>
      </w:tr>
      <w:tr w:rsidR="0029667E" w:rsidRPr="00DD0459" w14:paraId="71E5665F" w14:textId="77777777" w:rsidTr="00DD15E5">
        <w:trPr>
          <w:trHeight w:val="539"/>
        </w:trPr>
        <w:tc>
          <w:tcPr>
            <w:tcW w:w="984" w:type="dxa"/>
            <w:tcBorders>
              <w:top w:val="nil"/>
              <w:left w:val="nil"/>
              <w:bottom w:val="nil"/>
              <w:right w:val="nil"/>
            </w:tcBorders>
            <w:shd w:val="clear" w:color="auto" w:fill="auto"/>
            <w:vAlign w:val="center"/>
            <w:hideMark/>
          </w:tcPr>
          <w:p w14:paraId="01CE7D02"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delta</w:t>
            </w:r>
          </w:p>
        </w:tc>
        <w:tc>
          <w:tcPr>
            <w:tcW w:w="5025" w:type="dxa"/>
            <w:gridSpan w:val="2"/>
            <w:tcBorders>
              <w:top w:val="nil"/>
              <w:left w:val="nil"/>
              <w:bottom w:val="nil"/>
              <w:right w:val="nil"/>
            </w:tcBorders>
            <w:shd w:val="clear" w:color="auto" w:fill="auto"/>
            <w:vAlign w:val="center"/>
            <w:hideMark/>
          </w:tcPr>
          <w:p w14:paraId="699E64A1" w14:textId="1F8B8DD1"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-0.86 ± 8.30</w:t>
            </w:r>
          </w:p>
        </w:tc>
        <w:tc>
          <w:tcPr>
            <w:tcW w:w="4678" w:type="dxa"/>
            <w:gridSpan w:val="2"/>
            <w:tcBorders>
              <w:top w:val="nil"/>
              <w:left w:val="nil"/>
              <w:bottom w:val="nil"/>
              <w:right w:val="nil"/>
            </w:tcBorders>
            <w:shd w:val="clear" w:color="auto" w:fill="auto"/>
            <w:vAlign w:val="center"/>
            <w:hideMark/>
          </w:tcPr>
          <w:p w14:paraId="7C87697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-1.44 ± 10.11</w:t>
            </w:r>
          </w:p>
        </w:tc>
      </w:tr>
      <w:tr w:rsidR="0029667E" w:rsidRPr="00DD0459" w14:paraId="7D499626" w14:textId="77777777" w:rsidTr="00DD15E5">
        <w:trPr>
          <w:trHeight w:val="276"/>
        </w:trPr>
        <w:tc>
          <w:tcPr>
            <w:tcW w:w="984" w:type="dxa"/>
            <w:tcBorders>
              <w:top w:val="nil"/>
              <w:left w:val="nil"/>
              <w:bottom w:val="nil"/>
              <w:right w:val="nil"/>
            </w:tcBorders>
            <w:shd w:val="clear" w:color="auto" w:fill="auto"/>
            <w:vAlign w:val="center"/>
            <w:hideMark/>
          </w:tcPr>
          <w:p w14:paraId="0895459F"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BMI</w:t>
            </w:r>
          </w:p>
        </w:tc>
        <w:tc>
          <w:tcPr>
            <w:tcW w:w="2594" w:type="dxa"/>
            <w:tcBorders>
              <w:top w:val="nil"/>
              <w:left w:val="nil"/>
              <w:bottom w:val="nil"/>
              <w:right w:val="nil"/>
            </w:tcBorders>
            <w:shd w:val="clear" w:color="auto" w:fill="auto"/>
            <w:vAlign w:val="center"/>
            <w:hideMark/>
          </w:tcPr>
          <w:p w14:paraId="619CA905"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31.97 ± 6.58</w:t>
            </w:r>
          </w:p>
        </w:tc>
        <w:tc>
          <w:tcPr>
            <w:tcW w:w="2431" w:type="dxa"/>
            <w:tcBorders>
              <w:top w:val="nil"/>
              <w:left w:val="nil"/>
              <w:bottom w:val="nil"/>
              <w:right w:val="nil"/>
            </w:tcBorders>
            <w:shd w:val="clear" w:color="auto" w:fill="auto"/>
            <w:vAlign w:val="center"/>
            <w:hideMark/>
          </w:tcPr>
          <w:p w14:paraId="520D10D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31.21 ± 6.13</w:t>
            </w:r>
          </w:p>
        </w:tc>
        <w:tc>
          <w:tcPr>
            <w:tcW w:w="2284" w:type="dxa"/>
            <w:tcBorders>
              <w:top w:val="nil"/>
              <w:left w:val="nil"/>
              <w:bottom w:val="nil"/>
              <w:right w:val="nil"/>
            </w:tcBorders>
            <w:shd w:val="clear" w:color="auto" w:fill="auto"/>
            <w:vAlign w:val="center"/>
            <w:hideMark/>
          </w:tcPr>
          <w:p w14:paraId="5A4CC547"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34.23 ± 6.16</w:t>
            </w:r>
          </w:p>
        </w:tc>
        <w:tc>
          <w:tcPr>
            <w:tcW w:w="2394" w:type="dxa"/>
            <w:tcBorders>
              <w:top w:val="nil"/>
              <w:left w:val="nil"/>
              <w:bottom w:val="nil"/>
              <w:right w:val="nil"/>
            </w:tcBorders>
            <w:shd w:val="clear" w:color="auto" w:fill="auto"/>
            <w:vAlign w:val="center"/>
            <w:hideMark/>
          </w:tcPr>
          <w:p w14:paraId="4E390A36"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34.51 ± 5.97</w:t>
            </w:r>
          </w:p>
        </w:tc>
      </w:tr>
      <w:tr w:rsidR="0029667E" w:rsidRPr="00DD0459" w14:paraId="63C732F8" w14:textId="77777777" w:rsidTr="00DD15E5">
        <w:trPr>
          <w:trHeight w:val="552"/>
        </w:trPr>
        <w:tc>
          <w:tcPr>
            <w:tcW w:w="984" w:type="dxa"/>
            <w:tcBorders>
              <w:top w:val="nil"/>
              <w:left w:val="nil"/>
              <w:bottom w:val="nil"/>
              <w:right w:val="nil"/>
            </w:tcBorders>
            <w:shd w:val="clear" w:color="auto" w:fill="auto"/>
            <w:vAlign w:val="center"/>
            <w:hideMark/>
          </w:tcPr>
          <w:p w14:paraId="0B123C86"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 xml:space="preserve"> </w:t>
            </w:r>
          </w:p>
        </w:tc>
        <w:tc>
          <w:tcPr>
            <w:tcW w:w="2594" w:type="dxa"/>
            <w:tcBorders>
              <w:top w:val="nil"/>
              <w:left w:val="nil"/>
              <w:bottom w:val="nil"/>
              <w:right w:val="nil"/>
            </w:tcBorders>
            <w:shd w:val="clear" w:color="auto" w:fill="auto"/>
            <w:vAlign w:val="center"/>
            <w:hideMark/>
          </w:tcPr>
          <w:p w14:paraId="55A898F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29.25 ( 27.375 - 34.1 )</w:t>
            </w:r>
          </w:p>
        </w:tc>
        <w:tc>
          <w:tcPr>
            <w:tcW w:w="2431" w:type="dxa"/>
            <w:tcBorders>
              <w:top w:val="nil"/>
              <w:left w:val="nil"/>
              <w:bottom w:val="nil"/>
              <w:right w:val="nil"/>
            </w:tcBorders>
            <w:shd w:val="clear" w:color="auto" w:fill="auto"/>
            <w:vAlign w:val="center"/>
            <w:hideMark/>
          </w:tcPr>
          <w:p w14:paraId="40008BE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29.15 ( 26.8 - 32.875 )</w:t>
            </w:r>
          </w:p>
        </w:tc>
        <w:tc>
          <w:tcPr>
            <w:tcW w:w="2284" w:type="dxa"/>
            <w:tcBorders>
              <w:top w:val="nil"/>
              <w:left w:val="nil"/>
              <w:bottom w:val="nil"/>
              <w:right w:val="nil"/>
            </w:tcBorders>
            <w:shd w:val="clear" w:color="auto" w:fill="auto"/>
            <w:vAlign w:val="center"/>
            <w:hideMark/>
          </w:tcPr>
          <w:p w14:paraId="7004E14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33.4 ( 29.6 - 37.575 )</w:t>
            </w:r>
          </w:p>
        </w:tc>
        <w:tc>
          <w:tcPr>
            <w:tcW w:w="2394" w:type="dxa"/>
            <w:tcBorders>
              <w:top w:val="nil"/>
              <w:left w:val="nil"/>
              <w:bottom w:val="nil"/>
              <w:right w:val="nil"/>
            </w:tcBorders>
            <w:shd w:val="clear" w:color="auto" w:fill="auto"/>
            <w:vAlign w:val="center"/>
            <w:hideMark/>
          </w:tcPr>
          <w:p w14:paraId="06436D5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33.05 ( 30.425 - 37.55 )</w:t>
            </w:r>
          </w:p>
        </w:tc>
      </w:tr>
      <w:tr w:rsidR="00DD15E5" w:rsidRPr="00DD0459" w14:paraId="7B360482" w14:textId="77777777" w:rsidTr="00DD15E5">
        <w:trPr>
          <w:trHeight w:val="375"/>
        </w:trPr>
        <w:tc>
          <w:tcPr>
            <w:tcW w:w="984" w:type="dxa"/>
            <w:tcBorders>
              <w:top w:val="nil"/>
              <w:left w:val="nil"/>
              <w:bottom w:val="nil"/>
              <w:right w:val="nil"/>
            </w:tcBorders>
            <w:shd w:val="clear" w:color="auto" w:fill="auto"/>
            <w:vAlign w:val="center"/>
            <w:hideMark/>
          </w:tcPr>
          <w:p w14:paraId="6BFB380C"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delta</w:t>
            </w:r>
          </w:p>
        </w:tc>
        <w:tc>
          <w:tcPr>
            <w:tcW w:w="5025" w:type="dxa"/>
            <w:gridSpan w:val="2"/>
            <w:tcBorders>
              <w:top w:val="nil"/>
              <w:left w:val="nil"/>
              <w:bottom w:val="nil"/>
              <w:right w:val="nil"/>
            </w:tcBorders>
            <w:shd w:val="clear" w:color="auto" w:fill="auto"/>
            <w:vAlign w:val="center"/>
            <w:hideMark/>
          </w:tcPr>
          <w:p w14:paraId="1FA20A0A"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-0.76 ± 1.44</w:t>
            </w:r>
          </w:p>
        </w:tc>
        <w:tc>
          <w:tcPr>
            <w:tcW w:w="4678" w:type="dxa"/>
            <w:gridSpan w:val="2"/>
            <w:tcBorders>
              <w:top w:val="nil"/>
              <w:left w:val="nil"/>
              <w:bottom w:val="nil"/>
              <w:right w:val="nil"/>
            </w:tcBorders>
            <w:shd w:val="clear" w:color="auto" w:fill="auto"/>
            <w:vAlign w:val="center"/>
            <w:hideMark/>
          </w:tcPr>
          <w:p w14:paraId="2667E7D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0.28 ± 0.97</w:t>
            </w:r>
          </w:p>
        </w:tc>
      </w:tr>
      <w:tr w:rsidR="0029667E" w:rsidRPr="00DD0459" w14:paraId="692802D8" w14:textId="77777777" w:rsidTr="00DD15E5">
        <w:trPr>
          <w:trHeight w:val="276"/>
        </w:trPr>
        <w:tc>
          <w:tcPr>
            <w:tcW w:w="984" w:type="dxa"/>
            <w:tcBorders>
              <w:top w:val="nil"/>
              <w:left w:val="nil"/>
              <w:bottom w:val="nil"/>
              <w:right w:val="nil"/>
            </w:tcBorders>
            <w:shd w:val="clear" w:color="auto" w:fill="auto"/>
            <w:vAlign w:val="center"/>
            <w:hideMark/>
          </w:tcPr>
          <w:p w14:paraId="6257F486"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HDL</w:t>
            </w:r>
          </w:p>
        </w:tc>
        <w:tc>
          <w:tcPr>
            <w:tcW w:w="2594" w:type="dxa"/>
            <w:tcBorders>
              <w:top w:val="nil"/>
              <w:left w:val="nil"/>
              <w:bottom w:val="nil"/>
              <w:right w:val="nil"/>
            </w:tcBorders>
            <w:shd w:val="clear" w:color="auto" w:fill="auto"/>
            <w:vAlign w:val="center"/>
            <w:hideMark/>
          </w:tcPr>
          <w:p w14:paraId="634C97E9"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50.17 ± 11.85</w:t>
            </w:r>
          </w:p>
        </w:tc>
        <w:tc>
          <w:tcPr>
            <w:tcW w:w="2431" w:type="dxa"/>
            <w:tcBorders>
              <w:top w:val="nil"/>
              <w:left w:val="nil"/>
              <w:bottom w:val="nil"/>
              <w:right w:val="nil"/>
            </w:tcBorders>
            <w:shd w:val="clear" w:color="auto" w:fill="auto"/>
            <w:vAlign w:val="center"/>
            <w:hideMark/>
          </w:tcPr>
          <w:p w14:paraId="0C6CC0AE"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50.17 ± 13.07</w:t>
            </w:r>
          </w:p>
        </w:tc>
        <w:tc>
          <w:tcPr>
            <w:tcW w:w="2284" w:type="dxa"/>
            <w:tcBorders>
              <w:top w:val="nil"/>
              <w:left w:val="nil"/>
              <w:bottom w:val="nil"/>
              <w:right w:val="nil"/>
            </w:tcBorders>
            <w:shd w:val="clear" w:color="auto" w:fill="auto"/>
            <w:vAlign w:val="center"/>
            <w:hideMark/>
          </w:tcPr>
          <w:p w14:paraId="4328906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48.33 ± 13.70</w:t>
            </w:r>
          </w:p>
        </w:tc>
        <w:tc>
          <w:tcPr>
            <w:tcW w:w="2394" w:type="dxa"/>
            <w:tcBorders>
              <w:top w:val="nil"/>
              <w:left w:val="nil"/>
              <w:bottom w:val="nil"/>
              <w:right w:val="nil"/>
            </w:tcBorders>
            <w:shd w:val="clear" w:color="auto" w:fill="auto"/>
            <w:vAlign w:val="center"/>
            <w:hideMark/>
          </w:tcPr>
          <w:p w14:paraId="06398ECD"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45.19 ± 10.78</w:t>
            </w:r>
          </w:p>
        </w:tc>
      </w:tr>
      <w:tr w:rsidR="0029667E" w:rsidRPr="00DD0459" w14:paraId="5E88AAD4" w14:textId="77777777" w:rsidTr="00DD15E5">
        <w:trPr>
          <w:trHeight w:val="276"/>
        </w:trPr>
        <w:tc>
          <w:tcPr>
            <w:tcW w:w="984" w:type="dxa"/>
            <w:tcBorders>
              <w:top w:val="nil"/>
              <w:left w:val="nil"/>
              <w:bottom w:val="nil"/>
              <w:right w:val="nil"/>
            </w:tcBorders>
            <w:shd w:val="clear" w:color="auto" w:fill="auto"/>
            <w:vAlign w:val="center"/>
            <w:hideMark/>
          </w:tcPr>
          <w:p w14:paraId="3F021766"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 xml:space="preserve"> </w:t>
            </w:r>
          </w:p>
        </w:tc>
        <w:tc>
          <w:tcPr>
            <w:tcW w:w="2594" w:type="dxa"/>
            <w:tcBorders>
              <w:top w:val="nil"/>
              <w:left w:val="nil"/>
              <w:bottom w:val="nil"/>
              <w:right w:val="nil"/>
            </w:tcBorders>
            <w:shd w:val="clear" w:color="auto" w:fill="auto"/>
            <w:vAlign w:val="center"/>
            <w:hideMark/>
          </w:tcPr>
          <w:p w14:paraId="4E48725B"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47.5 ( 40 - 60 )</w:t>
            </w:r>
          </w:p>
        </w:tc>
        <w:tc>
          <w:tcPr>
            <w:tcW w:w="2431" w:type="dxa"/>
            <w:tcBorders>
              <w:top w:val="nil"/>
              <w:left w:val="nil"/>
              <w:bottom w:val="nil"/>
              <w:right w:val="nil"/>
            </w:tcBorders>
            <w:shd w:val="clear" w:color="auto" w:fill="auto"/>
            <w:vAlign w:val="center"/>
            <w:hideMark/>
          </w:tcPr>
          <w:p w14:paraId="4C57DFC7"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48.5 ( 43 - 60.25 )</w:t>
            </w:r>
          </w:p>
        </w:tc>
        <w:tc>
          <w:tcPr>
            <w:tcW w:w="2284" w:type="dxa"/>
            <w:tcBorders>
              <w:top w:val="nil"/>
              <w:left w:val="nil"/>
              <w:bottom w:val="nil"/>
              <w:right w:val="nil"/>
            </w:tcBorders>
            <w:shd w:val="clear" w:color="auto" w:fill="auto"/>
            <w:vAlign w:val="center"/>
            <w:hideMark/>
          </w:tcPr>
          <w:p w14:paraId="6230C38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43.5 ( 39 - 54.25 )</w:t>
            </w:r>
          </w:p>
        </w:tc>
        <w:tc>
          <w:tcPr>
            <w:tcW w:w="2394" w:type="dxa"/>
            <w:tcBorders>
              <w:top w:val="nil"/>
              <w:left w:val="nil"/>
              <w:bottom w:val="nil"/>
              <w:right w:val="nil"/>
            </w:tcBorders>
            <w:shd w:val="clear" w:color="auto" w:fill="auto"/>
            <w:vAlign w:val="center"/>
            <w:hideMark/>
          </w:tcPr>
          <w:p w14:paraId="03C959DA"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43.5 ( 38 - 52 )</w:t>
            </w:r>
          </w:p>
        </w:tc>
      </w:tr>
      <w:tr w:rsidR="00DD15E5" w:rsidRPr="00DD0459" w14:paraId="2B95EC94" w14:textId="77777777" w:rsidTr="00DD15E5">
        <w:trPr>
          <w:trHeight w:val="545"/>
        </w:trPr>
        <w:tc>
          <w:tcPr>
            <w:tcW w:w="984" w:type="dxa"/>
            <w:tcBorders>
              <w:top w:val="nil"/>
              <w:left w:val="nil"/>
              <w:bottom w:val="nil"/>
              <w:right w:val="nil"/>
            </w:tcBorders>
            <w:shd w:val="clear" w:color="auto" w:fill="auto"/>
            <w:vAlign w:val="center"/>
            <w:hideMark/>
          </w:tcPr>
          <w:p w14:paraId="3C0E6E6B"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delta</w:t>
            </w:r>
          </w:p>
        </w:tc>
        <w:tc>
          <w:tcPr>
            <w:tcW w:w="5025" w:type="dxa"/>
            <w:gridSpan w:val="2"/>
            <w:tcBorders>
              <w:top w:val="nil"/>
              <w:left w:val="nil"/>
              <w:bottom w:val="nil"/>
              <w:right w:val="nil"/>
            </w:tcBorders>
            <w:shd w:val="clear" w:color="auto" w:fill="auto"/>
            <w:vAlign w:val="center"/>
            <w:hideMark/>
          </w:tcPr>
          <w:p w14:paraId="10AECBD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0.00 ± 8.09</w:t>
            </w:r>
          </w:p>
        </w:tc>
        <w:tc>
          <w:tcPr>
            <w:tcW w:w="4678" w:type="dxa"/>
            <w:gridSpan w:val="2"/>
            <w:tcBorders>
              <w:top w:val="nil"/>
              <w:left w:val="nil"/>
              <w:bottom w:val="nil"/>
              <w:right w:val="nil"/>
            </w:tcBorders>
            <w:shd w:val="clear" w:color="auto" w:fill="auto"/>
            <w:vAlign w:val="center"/>
            <w:hideMark/>
          </w:tcPr>
          <w:p w14:paraId="1CCE2609"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-3.14 ± 6.91</w:t>
            </w:r>
          </w:p>
        </w:tc>
      </w:tr>
      <w:tr w:rsidR="0029667E" w:rsidRPr="00DD0459" w14:paraId="75B639A8" w14:textId="77777777" w:rsidTr="00DD15E5">
        <w:trPr>
          <w:trHeight w:val="276"/>
        </w:trPr>
        <w:tc>
          <w:tcPr>
            <w:tcW w:w="984" w:type="dxa"/>
            <w:tcBorders>
              <w:top w:val="nil"/>
              <w:left w:val="nil"/>
              <w:bottom w:val="nil"/>
              <w:right w:val="nil"/>
            </w:tcBorders>
            <w:shd w:val="clear" w:color="auto" w:fill="auto"/>
            <w:vAlign w:val="center"/>
            <w:hideMark/>
          </w:tcPr>
          <w:p w14:paraId="31A1C44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LDL</w:t>
            </w:r>
          </w:p>
        </w:tc>
        <w:tc>
          <w:tcPr>
            <w:tcW w:w="2594" w:type="dxa"/>
            <w:tcBorders>
              <w:top w:val="nil"/>
              <w:left w:val="nil"/>
              <w:bottom w:val="nil"/>
              <w:right w:val="nil"/>
            </w:tcBorders>
            <w:shd w:val="clear" w:color="auto" w:fill="auto"/>
            <w:vAlign w:val="center"/>
            <w:hideMark/>
          </w:tcPr>
          <w:p w14:paraId="25F3C1D2"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102.94 ± 33.84</w:t>
            </w:r>
          </w:p>
        </w:tc>
        <w:tc>
          <w:tcPr>
            <w:tcW w:w="2431" w:type="dxa"/>
            <w:tcBorders>
              <w:top w:val="nil"/>
              <w:left w:val="nil"/>
              <w:bottom w:val="nil"/>
              <w:right w:val="nil"/>
            </w:tcBorders>
            <w:shd w:val="clear" w:color="auto" w:fill="auto"/>
            <w:vAlign w:val="center"/>
            <w:hideMark/>
          </w:tcPr>
          <w:p w14:paraId="135F499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100.50 ± 30.39</w:t>
            </w:r>
          </w:p>
        </w:tc>
        <w:tc>
          <w:tcPr>
            <w:tcW w:w="2284" w:type="dxa"/>
            <w:tcBorders>
              <w:top w:val="nil"/>
              <w:left w:val="nil"/>
              <w:bottom w:val="nil"/>
              <w:right w:val="nil"/>
            </w:tcBorders>
            <w:shd w:val="clear" w:color="auto" w:fill="auto"/>
            <w:vAlign w:val="center"/>
            <w:hideMark/>
          </w:tcPr>
          <w:p w14:paraId="4996F774"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99.83 ± 29.06</w:t>
            </w:r>
          </w:p>
        </w:tc>
        <w:tc>
          <w:tcPr>
            <w:tcW w:w="2394" w:type="dxa"/>
            <w:tcBorders>
              <w:top w:val="nil"/>
              <w:left w:val="nil"/>
              <w:bottom w:val="nil"/>
              <w:right w:val="nil"/>
            </w:tcBorders>
            <w:shd w:val="clear" w:color="auto" w:fill="auto"/>
            <w:vAlign w:val="center"/>
            <w:hideMark/>
          </w:tcPr>
          <w:p w14:paraId="3F9FEF90"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93.61 ± 27.47</w:t>
            </w:r>
          </w:p>
        </w:tc>
      </w:tr>
      <w:tr w:rsidR="0029667E" w:rsidRPr="00DD0459" w14:paraId="2945048D" w14:textId="77777777" w:rsidTr="00DD15E5">
        <w:trPr>
          <w:trHeight w:val="276"/>
        </w:trPr>
        <w:tc>
          <w:tcPr>
            <w:tcW w:w="984" w:type="dxa"/>
            <w:tcBorders>
              <w:top w:val="nil"/>
              <w:left w:val="nil"/>
              <w:bottom w:val="nil"/>
              <w:right w:val="nil"/>
            </w:tcBorders>
            <w:shd w:val="clear" w:color="auto" w:fill="auto"/>
            <w:vAlign w:val="center"/>
            <w:hideMark/>
          </w:tcPr>
          <w:p w14:paraId="6ACED3C5"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 xml:space="preserve"> </w:t>
            </w:r>
          </w:p>
        </w:tc>
        <w:tc>
          <w:tcPr>
            <w:tcW w:w="2594" w:type="dxa"/>
            <w:tcBorders>
              <w:top w:val="nil"/>
              <w:left w:val="nil"/>
              <w:bottom w:val="nil"/>
              <w:right w:val="nil"/>
            </w:tcBorders>
            <w:shd w:val="clear" w:color="auto" w:fill="auto"/>
            <w:vAlign w:val="center"/>
            <w:hideMark/>
          </w:tcPr>
          <w:p w14:paraId="1B9F2295"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109 ( 75.25 - 124.5 )</w:t>
            </w:r>
          </w:p>
        </w:tc>
        <w:tc>
          <w:tcPr>
            <w:tcW w:w="2431" w:type="dxa"/>
            <w:tcBorders>
              <w:top w:val="nil"/>
              <w:left w:val="nil"/>
              <w:bottom w:val="nil"/>
              <w:right w:val="nil"/>
            </w:tcBorders>
            <w:shd w:val="clear" w:color="auto" w:fill="auto"/>
            <w:vAlign w:val="center"/>
            <w:hideMark/>
          </w:tcPr>
          <w:p w14:paraId="42FE64E7"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95 ( 76.5 - 120.5 )</w:t>
            </w:r>
          </w:p>
        </w:tc>
        <w:tc>
          <w:tcPr>
            <w:tcW w:w="2284" w:type="dxa"/>
            <w:tcBorders>
              <w:top w:val="nil"/>
              <w:left w:val="nil"/>
              <w:bottom w:val="nil"/>
              <w:right w:val="nil"/>
            </w:tcBorders>
            <w:shd w:val="clear" w:color="auto" w:fill="auto"/>
            <w:vAlign w:val="center"/>
            <w:hideMark/>
          </w:tcPr>
          <w:p w14:paraId="3471C34B"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104 ( 88.25 - 112.25 )</w:t>
            </w:r>
          </w:p>
        </w:tc>
        <w:tc>
          <w:tcPr>
            <w:tcW w:w="2394" w:type="dxa"/>
            <w:tcBorders>
              <w:top w:val="nil"/>
              <w:left w:val="nil"/>
              <w:bottom w:val="nil"/>
              <w:right w:val="nil"/>
            </w:tcBorders>
            <w:shd w:val="clear" w:color="auto" w:fill="auto"/>
            <w:vAlign w:val="center"/>
            <w:hideMark/>
          </w:tcPr>
          <w:p w14:paraId="0B5DD1C4"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96.5 ( 77.5 - 110.25 )</w:t>
            </w:r>
          </w:p>
        </w:tc>
      </w:tr>
      <w:tr w:rsidR="00DD15E5" w:rsidRPr="00DD0459" w14:paraId="601EBCBC" w14:textId="77777777" w:rsidTr="00DD15E5">
        <w:trPr>
          <w:trHeight w:val="533"/>
        </w:trPr>
        <w:tc>
          <w:tcPr>
            <w:tcW w:w="984" w:type="dxa"/>
            <w:tcBorders>
              <w:top w:val="nil"/>
              <w:left w:val="nil"/>
              <w:bottom w:val="nil"/>
              <w:right w:val="nil"/>
            </w:tcBorders>
            <w:shd w:val="clear" w:color="auto" w:fill="auto"/>
            <w:vAlign w:val="center"/>
            <w:hideMark/>
          </w:tcPr>
          <w:p w14:paraId="57CC5F7A"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delta</w:t>
            </w:r>
          </w:p>
        </w:tc>
        <w:tc>
          <w:tcPr>
            <w:tcW w:w="5025" w:type="dxa"/>
            <w:gridSpan w:val="2"/>
            <w:tcBorders>
              <w:top w:val="nil"/>
              <w:left w:val="nil"/>
              <w:bottom w:val="nil"/>
              <w:right w:val="nil"/>
            </w:tcBorders>
            <w:shd w:val="clear" w:color="auto" w:fill="auto"/>
            <w:vAlign w:val="center"/>
            <w:hideMark/>
          </w:tcPr>
          <w:p w14:paraId="5677A562"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-2.44 ± 21.27</w:t>
            </w:r>
          </w:p>
        </w:tc>
        <w:tc>
          <w:tcPr>
            <w:tcW w:w="4678" w:type="dxa"/>
            <w:gridSpan w:val="2"/>
            <w:tcBorders>
              <w:top w:val="nil"/>
              <w:left w:val="nil"/>
              <w:bottom w:val="nil"/>
              <w:right w:val="nil"/>
            </w:tcBorders>
            <w:shd w:val="clear" w:color="auto" w:fill="auto"/>
            <w:vAlign w:val="center"/>
            <w:hideMark/>
          </w:tcPr>
          <w:p w14:paraId="4710872E"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-6.22 ± 23.12</w:t>
            </w:r>
          </w:p>
        </w:tc>
      </w:tr>
      <w:tr w:rsidR="0029667E" w:rsidRPr="00DD0459" w14:paraId="6FB3B8D0" w14:textId="77777777" w:rsidTr="00DD15E5">
        <w:trPr>
          <w:trHeight w:val="276"/>
        </w:trPr>
        <w:tc>
          <w:tcPr>
            <w:tcW w:w="984" w:type="dxa"/>
            <w:tcBorders>
              <w:top w:val="nil"/>
              <w:left w:val="nil"/>
              <w:bottom w:val="nil"/>
              <w:right w:val="nil"/>
            </w:tcBorders>
            <w:shd w:val="clear" w:color="auto" w:fill="auto"/>
            <w:vAlign w:val="center"/>
            <w:hideMark/>
          </w:tcPr>
          <w:p w14:paraId="163B6E0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GLU</w:t>
            </w:r>
          </w:p>
        </w:tc>
        <w:tc>
          <w:tcPr>
            <w:tcW w:w="2594" w:type="dxa"/>
            <w:tcBorders>
              <w:top w:val="nil"/>
              <w:left w:val="nil"/>
              <w:bottom w:val="nil"/>
              <w:right w:val="nil"/>
            </w:tcBorders>
            <w:shd w:val="clear" w:color="auto" w:fill="auto"/>
            <w:vAlign w:val="center"/>
            <w:hideMark/>
          </w:tcPr>
          <w:p w14:paraId="00F82A4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116.64 ± 74.91</w:t>
            </w:r>
          </w:p>
        </w:tc>
        <w:tc>
          <w:tcPr>
            <w:tcW w:w="2431" w:type="dxa"/>
            <w:tcBorders>
              <w:top w:val="nil"/>
              <w:left w:val="nil"/>
              <w:bottom w:val="nil"/>
              <w:right w:val="nil"/>
            </w:tcBorders>
            <w:shd w:val="clear" w:color="auto" w:fill="auto"/>
            <w:vAlign w:val="center"/>
            <w:hideMark/>
          </w:tcPr>
          <w:p w14:paraId="4B7AC0AE"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107.14 ± 38.65</w:t>
            </w:r>
          </w:p>
        </w:tc>
        <w:tc>
          <w:tcPr>
            <w:tcW w:w="2284" w:type="dxa"/>
            <w:tcBorders>
              <w:top w:val="nil"/>
              <w:left w:val="nil"/>
              <w:bottom w:val="nil"/>
              <w:right w:val="nil"/>
            </w:tcBorders>
            <w:shd w:val="clear" w:color="auto" w:fill="auto"/>
            <w:vAlign w:val="center"/>
            <w:hideMark/>
          </w:tcPr>
          <w:p w14:paraId="3F3EB9B7"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128.97 ± 73.86</w:t>
            </w:r>
          </w:p>
        </w:tc>
        <w:tc>
          <w:tcPr>
            <w:tcW w:w="2394" w:type="dxa"/>
            <w:tcBorders>
              <w:top w:val="nil"/>
              <w:left w:val="nil"/>
              <w:bottom w:val="nil"/>
              <w:right w:val="nil"/>
            </w:tcBorders>
            <w:shd w:val="clear" w:color="auto" w:fill="auto"/>
            <w:vAlign w:val="center"/>
            <w:hideMark/>
          </w:tcPr>
          <w:p w14:paraId="64677300"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126.61 ± 63.96</w:t>
            </w:r>
          </w:p>
        </w:tc>
      </w:tr>
      <w:tr w:rsidR="0029667E" w:rsidRPr="00DD0459" w14:paraId="51F14D68" w14:textId="77777777" w:rsidTr="00DD15E5">
        <w:trPr>
          <w:trHeight w:val="276"/>
        </w:trPr>
        <w:tc>
          <w:tcPr>
            <w:tcW w:w="984" w:type="dxa"/>
            <w:tcBorders>
              <w:top w:val="nil"/>
              <w:left w:val="nil"/>
              <w:bottom w:val="nil"/>
              <w:right w:val="nil"/>
            </w:tcBorders>
            <w:shd w:val="clear" w:color="auto" w:fill="auto"/>
            <w:vAlign w:val="center"/>
            <w:hideMark/>
          </w:tcPr>
          <w:p w14:paraId="5CC60064"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 xml:space="preserve"> </w:t>
            </w:r>
          </w:p>
        </w:tc>
        <w:tc>
          <w:tcPr>
            <w:tcW w:w="2594" w:type="dxa"/>
            <w:tcBorders>
              <w:top w:val="nil"/>
              <w:left w:val="nil"/>
              <w:bottom w:val="nil"/>
              <w:right w:val="nil"/>
            </w:tcBorders>
            <w:shd w:val="clear" w:color="auto" w:fill="auto"/>
            <w:vAlign w:val="center"/>
            <w:hideMark/>
          </w:tcPr>
          <w:p w14:paraId="3309EDD8"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94 ( 83.75 - 116.5 )</w:t>
            </w:r>
          </w:p>
        </w:tc>
        <w:tc>
          <w:tcPr>
            <w:tcW w:w="2431" w:type="dxa"/>
            <w:tcBorders>
              <w:top w:val="nil"/>
              <w:left w:val="nil"/>
              <w:bottom w:val="nil"/>
              <w:right w:val="nil"/>
            </w:tcBorders>
            <w:shd w:val="clear" w:color="auto" w:fill="auto"/>
            <w:vAlign w:val="center"/>
            <w:hideMark/>
          </w:tcPr>
          <w:p w14:paraId="1EF6586E"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95.5 ( 85.25 - 129 )</w:t>
            </w:r>
          </w:p>
        </w:tc>
        <w:tc>
          <w:tcPr>
            <w:tcW w:w="2284" w:type="dxa"/>
            <w:tcBorders>
              <w:top w:val="nil"/>
              <w:left w:val="nil"/>
              <w:bottom w:val="nil"/>
              <w:right w:val="nil"/>
            </w:tcBorders>
            <w:shd w:val="clear" w:color="auto" w:fill="auto"/>
            <w:vAlign w:val="center"/>
            <w:hideMark/>
          </w:tcPr>
          <w:p w14:paraId="6BAB2915"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98 ( 81.75 - 139 )</w:t>
            </w:r>
          </w:p>
        </w:tc>
        <w:tc>
          <w:tcPr>
            <w:tcW w:w="2394" w:type="dxa"/>
            <w:tcBorders>
              <w:top w:val="nil"/>
              <w:left w:val="nil"/>
              <w:bottom w:val="nil"/>
              <w:right w:val="nil"/>
            </w:tcBorders>
            <w:shd w:val="clear" w:color="auto" w:fill="auto"/>
            <w:vAlign w:val="center"/>
            <w:hideMark/>
          </w:tcPr>
          <w:p w14:paraId="20540284"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106.5 ( 85 - 145.75 )</w:t>
            </w:r>
          </w:p>
        </w:tc>
      </w:tr>
      <w:tr w:rsidR="00DD15E5" w:rsidRPr="00DD0459" w14:paraId="108D6596" w14:textId="77777777" w:rsidTr="00DD0459">
        <w:trPr>
          <w:trHeight w:val="549"/>
        </w:trPr>
        <w:tc>
          <w:tcPr>
            <w:tcW w:w="984" w:type="dxa"/>
            <w:tcBorders>
              <w:top w:val="nil"/>
              <w:left w:val="nil"/>
              <w:bottom w:val="single" w:sz="18" w:space="0" w:color="auto"/>
              <w:right w:val="nil"/>
            </w:tcBorders>
            <w:shd w:val="clear" w:color="auto" w:fill="auto"/>
            <w:vAlign w:val="center"/>
            <w:hideMark/>
          </w:tcPr>
          <w:p w14:paraId="31336540"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delta</w:t>
            </w:r>
          </w:p>
        </w:tc>
        <w:tc>
          <w:tcPr>
            <w:tcW w:w="5025" w:type="dxa"/>
            <w:gridSpan w:val="2"/>
            <w:tcBorders>
              <w:top w:val="nil"/>
              <w:left w:val="nil"/>
              <w:bottom w:val="single" w:sz="18" w:space="0" w:color="auto"/>
              <w:right w:val="nil"/>
            </w:tcBorders>
            <w:shd w:val="clear" w:color="auto" w:fill="auto"/>
            <w:vAlign w:val="center"/>
            <w:hideMark/>
          </w:tcPr>
          <w:p w14:paraId="1BC01341"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-9.50 ± 57.36</w:t>
            </w:r>
          </w:p>
        </w:tc>
        <w:tc>
          <w:tcPr>
            <w:tcW w:w="4678" w:type="dxa"/>
            <w:gridSpan w:val="2"/>
            <w:tcBorders>
              <w:top w:val="nil"/>
              <w:left w:val="nil"/>
              <w:bottom w:val="single" w:sz="18" w:space="0" w:color="auto"/>
              <w:right w:val="nil"/>
            </w:tcBorders>
            <w:shd w:val="clear" w:color="auto" w:fill="auto"/>
            <w:vAlign w:val="center"/>
            <w:hideMark/>
          </w:tcPr>
          <w:p w14:paraId="32AF77A3" w14:textId="77777777" w:rsidR="0029667E" w:rsidRPr="00DD0459" w:rsidRDefault="0029667E" w:rsidP="0029667E">
            <w:pPr>
              <w:spacing w:after="0"/>
              <w:jc w:val="center"/>
              <w:rPr>
                <w:rFonts w:ascii="等线" w:eastAsia="等线" w:hAnsi="等线" w:cs="宋体"/>
                <w:b/>
                <w:bCs/>
                <w:color w:val="000000"/>
                <w:sz w:val="22"/>
                <w:szCs w:val="22"/>
                <w:lang w:eastAsia="zh-CN"/>
              </w:rPr>
            </w:pPr>
            <w:r w:rsidRPr="00DD0459">
              <w:rPr>
                <w:rFonts w:ascii="等线" w:eastAsia="等线" w:hAnsi="等线" w:cs="宋体" w:hint="eastAsia"/>
                <w:b/>
                <w:bCs/>
                <w:color w:val="000000"/>
                <w:sz w:val="22"/>
                <w:szCs w:val="22"/>
                <w:lang w:eastAsia="zh-CN"/>
              </w:rPr>
              <w:t>-2.36 ± 51.22</w:t>
            </w:r>
          </w:p>
        </w:tc>
      </w:tr>
    </w:tbl>
    <w:p w14:paraId="46FA00D7" w14:textId="561EA158" w:rsidR="0029667E" w:rsidRPr="00DD0459" w:rsidRDefault="0029667E" w:rsidP="0029667E">
      <w:pPr>
        <w:pStyle w:val="a0"/>
        <w:rPr>
          <w:b/>
          <w:bCs/>
          <w:lang w:eastAsia="zh-CN"/>
        </w:rPr>
      </w:pPr>
    </w:p>
    <w:p w14:paraId="70207E30" w14:textId="2995F3BF" w:rsidR="007539A3" w:rsidRPr="00DD0459" w:rsidRDefault="007539A3" w:rsidP="0029667E">
      <w:pPr>
        <w:pStyle w:val="a0"/>
        <w:rPr>
          <w:b/>
          <w:bCs/>
          <w:lang w:eastAsia="zh-CN"/>
        </w:rPr>
      </w:pPr>
    </w:p>
    <w:p w14:paraId="78B4A70C" w14:textId="45796E32" w:rsidR="007539A3" w:rsidRPr="00DD0459" w:rsidRDefault="007539A3" w:rsidP="0029667E">
      <w:pPr>
        <w:pStyle w:val="a0"/>
        <w:rPr>
          <w:b/>
          <w:bCs/>
          <w:lang w:eastAsia="zh-CN"/>
        </w:rPr>
      </w:pPr>
    </w:p>
    <w:p w14:paraId="5E85514C" w14:textId="3B8CC858" w:rsidR="007539A3" w:rsidRDefault="007539A3" w:rsidP="0029667E">
      <w:pPr>
        <w:pStyle w:val="a0"/>
        <w:rPr>
          <w:lang w:eastAsia="zh-CN"/>
        </w:rPr>
      </w:pPr>
    </w:p>
    <w:p w14:paraId="22EEBBDA" w14:textId="3BA9528B" w:rsidR="007539A3" w:rsidRDefault="007539A3" w:rsidP="0029667E">
      <w:pPr>
        <w:pStyle w:val="a0"/>
        <w:rPr>
          <w:lang w:eastAsia="zh-CN"/>
        </w:rPr>
      </w:pPr>
    </w:p>
    <w:p w14:paraId="69D068BF" w14:textId="7B4F67CF" w:rsidR="007539A3" w:rsidRDefault="007539A3" w:rsidP="0029667E">
      <w:pPr>
        <w:pStyle w:val="a0"/>
        <w:rPr>
          <w:lang w:eastAsia="zh-CN"/>
        </w:rPr>
      </w:pPr>
    </w:p>
    <w:p w14:paraId="145518EC" w14:textId="3DC8A6DC" w:rsidR="00BB3D88" w:rsidRDefault="00D80976">
      <w:pPr>
        <w:pStyle w:val="3"/>
      </w:pPr>
      <w:bookmarkStart w:id="5" w:name="_GoBack"/>
      <w:bookmarkEnd w:id="5"/>
      <w:r>
        <w:lastRenderedPageBreak/>
        <w:t>b) ii</w:t>
      </w:r>
      <w:bookmarkEnd w:id="4"/>
    </w:p>
    <w:p w14:paraId="0100ECA9" w14:textId="1BD7CDFD" w:rsidR="00087CEF" w:rsidRPr="00087CEF" w:rsidRDefault="00087CEF" w:rsidP="00087CEF">
      <w:pPr>
        <w:pStyle w:val="a0"/>
        <w:rPr>
          <w:lang w:eastAsia="zh-CN"/>
        </w:rPr>
      </w:pPr>
      <w:r>
        <w:rPr>
          <w:lang w:eastAsia="zh-CN"/>
        </w:rPr>
        <w:t>Picture 1: Boxplot of BMI variable</w:t>
      </w:r>
    </w:p>
    <w:p w14:paraId="50DDBFAD" w14:textId="1AC05E09" w:rsidR="00BB3D88" w:rsidRDefault="001B43F1">
      <w:pPr>
        <w:pStyle w:val="FirstParagraph"/>
      </w:pPr>
      <w:r>
        <w:rPr>
          <w:noProof/>
        </w:rPr>
        <w:drawing>
          <wp:inline distT="0" distB="0" distL="0" distR="0" wp14:anchorId="7F52733C" wp14:editId="60DCE752">
            <wp:extent cx="4432300" cy="31651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172" cy="3177244"/>
                    </a:xfrm>
                    <a:prstGeom prst="rect">
                      <a:avLst/>
                    </a:prstGeom>
                    <a:noFill/>
                    <a:ln>
                      <a:noFill/>
                    </a:ln>
                  </pic:spPr>
                </pic:pic>
              </a:graphicData>
            </a:graphic>
          </wp:inline>
        </w:drawing>
      </w:r>
    </w:p>
    <w:p w14:paraId="48F41769" w14:textId="4B2CA1B9" w:rsidR="00087CEF" w:rsidRDefault="00087CEF" w:rsidP="00087CEF">
      <w:pPr>
        <w:pStyle w:val="a0"/>
      </w:pPr>
    </w:p>
    <w:p w14:paraId="0A450A81" w14:textId="1DAD490A" w:rsidR="00087CEF" w:rsidRPr="00087CEF" w:rsidRDefault="00087CEF" w:rsidP="00087CEF">
      <w:pPr>
        <w:pStyle w:val="a0"/>
        <w:rPr>
          <w:lang w:eastAsia="zh-CN"/>
        </w:rPr>
      </w:pPr>
      <w:r>
        <w:rPr>
          <w:lang w:eastAsia="zh-CN"/>
        </w:rPr>
        <w:t>Picture 2: Boxplot of BMI variable</w:t>
      </w:r>
    </w:p>
    <w:p w14:paraId="115AF6E0" w14:textId="69BDB654" w:rsidR="008E3B4F" w:rsidRPr="008E3B4F" w:rsidRDefault="00087CEF" w:rsidP="008E3B4F">
      <w:pPr>
        <w:pStyle w:val="FirstParagraph"/>
      </w:pPr>
      <w:r>
        <w:rPr>
          <w:noProof/>
        </w:rPr>
        <w:drawing>
          <wp:inline distT="0" distB="0" distL="0" distR="0" wp14:anchorId="23A738E9" wp14:editId="2E63A8FA">
            <wp:extent cx="4437137" cy="316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78" cy="3190174"/>
                    </a:xfrm>
                    <a:prstGeom prst="rect">
                      <a:avLst/>
                    </a:prstGeom>
                    <a:noFill/>
                    <a:ln>
                      <a:noFill/>
                    </a:ln>
                  </pic:spPr>
                </pic:pic>
              </a:graphicData>
            </a:graphic>
          </wp:inline>
        </w:drawing>
      </w:r>
    </w:p>
    <w:p w14:paraId="08A55E7C" w14:textId="77777777" w:rsidR="00BB3D88" w:rsidRDefault="00D80976">
      <w:pPr>
        <w:pStyle w:val="3"/>
      </w:pPr>
      <w:bookmarkStart w:id="6" w:name="b-iii"/>
      <w:r>
        <w:lastRenderedPageBreak/>
        <w:t>b) iii</w:t>
      </w:r>
      <w:bookmarkEnd w:id="6"/>
    </w:p>
    <w:p w14:paraId="0FF67B21" w14:textId="3655E95E" w:rsidR="00AB0ECF" w:rsidRDefault="00AB0ECF" w:rsidP="00AB0ECF">
      <w:pPr>
        <w:pStyle w:val="FirstParagraph"/>
      </w:pPr>
      <w:r>
        <w:t xml:space="preserve">According to table of Pre/Post changes in metabolic parameters, structured exercise program has a </w:t>
      </w:r>
      <w:r w:rsidR="00914B10">
        <w:t>larger</w:t>
      </w:r>
      <w:r>
        <w:t xml:space="preserve"> impact on the</w:t>
      </w:r>
      <w:r w:rsidR="005C202C">
        <w:t xml:space="preserve"> </w:t>
      </w:r>
      <w:r>
        <w:rPr>
          <w:rStyle w:val="VerbatimChar"/>
        </w:rPr>
        <w:t>Systolic</w:t>
      </w:r>
      <w:r>
        <w:t xml:space="preserve">, </w:t>
      </w:r>
      <w:r>
        <w:rPr>
          <w:rStyle w:val="VerbatimChar"/>
        </w:rPr>
        <w:t>Glu</w:t>
      </w:r>
      <w:r>
        <w:t xml:space="preserve"> </w:t>
      </w:r>
      <w:r w:rsidR="005C202C">
        <w:t xml:space="preserve">and </w:t>
      </w:r>
      <w:r w:rsidR="005C202C">
        <w:rPr>
          <w:rStyle w:val="VerbatimChar"/>
        </w:rPr>
        <w:t>BMI</w:t>
      </w:r>
      <w:r w:rsidR="005C202C">
        <w:t xml:space="preserve"> </w:t>
      </w:r>
      <w:r>
        <w:t>variables</w:t>
      </w:r>
      <w:r w:rsidR="005C202C">
        <w:t>,</w:t>
      </w:r>
      <w:r w:rsidR="005C202C">
        <w:rPr>
          <w:rFonts w:hint="eastAsia"/>
          <w:lang w:eastAsia="zh-CN"/>
        </w:rPr>
        <w:t xml:space="preserve"> </w:t>
      </w:r>
      <w:r w:rsidR="005C202C">
        <w:rPr>
          <w:lang w:eastAsia="zh-CN"/>
        </w:rPr>
        <w:t>s</w:t>
      </w:r>
      <w:r>
        <w:t xml:space="preserve">o it means that the program may affect </w:t>
      </w:r>
      <w:r>
        <w:rPr>
          <w:rStyle w:val="VerbatimChar"/>
        </w:rPr>
        <w:t>Systolic</w:t>
      </w:r>
      <w:r>
        <w:t xml:space="preserve">, </w:t>
      </w:r>
      <w:r>
        <w:rPr>
          <w:rStyle w:val="VerbatimChar"/>
        </w:rPr>
        <w:t>Glu</w:t>
      </w:r>
      <w:r>
        <w:t xml:space="preserve"> and </w:t>
      </w:r>
      <w:r>
        <w:rPr>
          <w:rStyle w:val="VerbatimChar"/>
        </w:rPr>
        <w:t>BMI</w:t>
      </w:r>
      <w:r w:rsidR="00914B10">
        <w:rPr>
          <w:rStyle w:val="VerbatimChar"/>
        </w:rPr>
        <w:t xml:space="preserve"> </w:t>
      </w:r>
      <w:r w:rsidR="00914B10" w:rsidRPr="00914B10">
        <w:t xml:space="preserve">more </w:t>
      </w:r>
      <w:r w:rsidR="00914B10">
        <w:t>greatly</w:t>
      </w:r>
      <w:r>
        <w:t xml:space="preserve"> compared with the impact on the other variables.</w:t>
      </w:r>
    </w:p>
    <w:p w14:paraId="7DDE4FAA" w14:textId="3CB6D706" w:rsidR="00AB0ECF" w:rsidRDefault="00AB0ECF" w:rsidP="00AB0ECF">
      <w:pPr>
        <w:pStyle w:val="a0"/>
      </w:pPr>
      <w:r>
        <w:t xml:space="preserve">Moreover, there are some variables that changed more severely in control than in intervention group, such as </w:t>
      </w:r>
      <w:r>
        <w:rPr>
          <w:rStyle w:val="VerbatimChar"/>
        </w:rPr>
        <w:t>diastolic</w:t>
      </w:r>
      <w:r>
        <w:t xml:space="preserve">, </w:t>
      </w:r>
      <w:r>
        <w:rPr>
          <w:rStyle w:val="VerbatimChar"/>
        </w:rPr>
        <w:t>HDL</w:t>
      </w:r>
      <w:r>
        <w:t xml:space="preserve"> and </w:t>
      </w:r>
      <w:r>
        <w:rPr>
          <w:rStyle w:val="VerbatimChar"/>
        </w:rPr>
        <w:t>LDL</w:t>
      </w:r>
      <w:r>
        <w:t xml:space="preserve">. In other words, the program is not </w:t>
      </w:r>
      <w:r w:rsidR="005C202C">
        <w:t>beneficial</w:t>
      </w:r>
      <w:r>
        <w:t xml:space="preserve"> to the decline of </w:t>
      </w:r>
      <w:r>
        <w:rPr>
          <w:rStyle w:val="VerbatimChar"/>
        </w:rPr>
        <w:t>diastolic</w:t>
      </w:r>
      <w:r>
        <w:t xml:space="preserve">, </w:t>
      </w:r>
      <w:r>
        <w:rPr>
          <w:rStyle w:val="VerbatimChar"/>
        </w:rPr>
        <w:t>HDL</w:t>
      </w:r>
      <w:r>
        <w:t xml:space="preserve"> and </w:t>
      </w:r>
      <w:r>
        <w:rPr>
          <w:rStyle w:val="VerbatimChar"/>
        </w:rPr>
        <w:t>LDL</w:t>
      </w:r>
      <w:r>
        <w:t>.</w:t>
      </w:r>
    </w:p>
    <w:p w14:paraId="54A3332E" w14:textId="320BE2D7" w:rsidR="00AB0ECF" w:rsidRDefault="00AB0ECF" w:rsidP="00AB0ECF">
      <w:pPr>
        <w:pStyle w:val="a0"/>
      </w:pPr>
      <w:r>
        <w:t>As for the BMI in the study, in general, the values in intervention group are higher than the control group’s while there is little difference within each group.</w:t>
      </w:r>
    </w:p>
    <w:p w14:paraId="13EF4075" w14:textId="57FE3903" w:rsidR="00AB0ECF" w:rsidRDefault="00AB0ECF" w:rsidP="00AB0ECF">
      <w:pPr>
        <w:pStyle w:val="a0"/>
      </w:pPr>
      <w:r>
        <w:t>As for the LDL, for both groups, there is a trend that the values in post measurement are lower than the baseline’s, and it is more obvious in control. Besides, in intervention, the values are more concentrated whereas values in control are more dispersed.</w:t>
      </w:r>
    </w:p>
    <w:p w14:paraId="3AE0AD26" w14:textId="77777777" w:rsidR="00BB3D88" w:rsidRDefault="00D80976">
      <w:pPr>
        <w:pStyle w:val="2"/>
      </w:pPr>
      <w:bookmarkStart w:id="7" w:name="c"/>
      <w:r>
        <w:t>c)</w:t>
      </w:r>
      <w:bookmarkEnd w:id="7"/>
    </w:p>
    <w:p w14:paraId="3E5D7634" w14:textId="77777777" w:rsidR="00AB0ECF" w:rsidRDefault="00AB0ECF" w:rsidP="00AB0ECF">
      <w:pPr>
        <w:pStyle w:val="FirstParagraph"/>
      </w:pPr>
      <w:bookmarkStart w:id="8" w:name="problem-2"/>
      <w:r>
        <w:t>It is an interventional clinical trial, and from the perspective of demographics, the two groups are basically balanced, which is favorable for the study.</w:t>
      </w:r>
    </w:p>
    <w:p w14:paraId="228C6FDA" w14:textId="77777777" w:rsidR="00AB0ECF" w:rsidRDefault="00AB0ECF" w:rsidP="00AB0ECF">
      <w:pPr>
        <w:pStyle w:val="a0"/>
      </w:pPr>
      <w:r>
        <w:t>However, there is some potential issues as well. For instance, the medians of baselines of BMI in two groups are of great difference, which may make the two groups incomparable. Besides, as for the LDL, the variances of two groups are extremely different, which may cause the similar problem like BMI.</w:t>
      </w:r>
    </w:p>
    <w:p w14:paraId="00ABB233" w14:textId="6A1DB235" w:rsidR="00AB0ECF" w:rsidRDefault="00AB0ECF" w:rsidP="00AB0ECF">
      <w:pPr>
        <w:pStyle w:val="a0"/>
      </w:pPr>
      <w:r>
        <w:t>Besides, the study do</w:t>
      </w:r>
      <w:r w:rsidR="006079A3">
        <w:t>se not</w:t>
      </w:r>
      <w:r>
        <w:t xml:space="preserve"> implement b</w:t>
      </w:r>
      <w:r w:rsidR="006079A3">
        <w:t>l</w:t>
      </w:r>
      <w:r>
        <w:t>inding, so there may contain a lot of bias from doctors, subjects and so on. What is worse,</w:t>
      </w:r>
      <w:r w:rsidR="00F44FBF">
        <w:t xml:space="preserve"> </w:t>
      </w:r>
      <w:r>
        <w:t xml:space="preserve">the control is non-participating, as a result, the new program in the study is just compared with blank control instead of standard control. Due to that, the study can only tell the difference </w:t>
      </w:r>
      <w:r w:rsidR="00F44FBF">
        <w:t xml:space="preserve">between </w:t>
      </w:r>
      <w:r>
        <w:t>new program and non-participant but fails to test the difference b</w:t>
      </w:r>
      <w:r w:rsidR="00F44FBF">
        <w:t>e</w:t>
      </w:r>
      <w:r>
        <w:t>tween new program and established one.</w:t>
      </w:r>
      <w:r w:rsidR="006079A3">
        <w:t xml:space="preserve"> </w:t>
      </w:r>
      <w:r w:rsidR="00F54ADC">
        <w:t>Finally, randomization is not designed in the study, which may become a big bias in grouping.</w:t>
      </w:r>
    </w:p>
    <w:p w14:paraId="55E00440" w14:textId="39E56355" w:rsidR="00AB0ECF" w:rsidRDefault="00AB0ECF" w:rsidP="00AB0ECF">
      <w:pPr>
        <w:pStyle w:val="a0"/>
      </w:pPr>
      <w:r>
        <w:t>To sum up, the study contains plenty of bias and the result is not convincing enough</w:t>
      </w:r>
      <w:r w:rsidR="00F54ADC">
        <w:t xml:space="preserve"> and maintains huge limitation</w:t>
      </w:r>
      <w:r>
        <w:t>.</w:t>
      </w:r>
    </w:p>
    <w:p w14:paraId="5B54E5C3" w14:textId="7D146584" w:rsidR="00BB3D88" w:rsidRDefault="00D80976">
      <w:pPr>
        <w:pStyle w:val="1"/>
      </w:pPr>
      <w:r>
        <w:t>Problem 2</w:t>
      </w:r>
      <w:bookmarkEnd w:id="8"/>
    </w:p>
    <w:p w14:paraId="12878034" w14:textId="370A432B" w:rsidR="008E3B4F" w:rsidRDefault="009B2D4F" w:rsidP="008E3B4F">
      <w:pPr>
        <w:pStyle w:val="a0"/>
        <w:rPr>
          <w:lang w:eastAsia="zh-CN"/>
        </w:rPr>
      </w:pPr>
      <w:r>
        <w:rPr>
          <w:lang w:eastAsia="zh-CN"/>
        </w:rPr>
        <w:t xml:space="preserve">The prevalence of the DS: </w:t>
      </w:r>
      <w:bookmarkStart w:id="9" w:name="MTBlankEqn"/>
      <w:r w:rsidRPr="009B2D4F">
        <w:rPr>
          <w:position w:val="-10"/>
        </w:rPr>
        <w:object w:dxaOrig="1340" w:dyaOrig="320" w14:anchorId="7BE03F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16.2pt" o:ole="">
            <v:imagedata r:id="rId9" o:title=""/>
          </v:shape>
          <o:OLEObject Type="Embed" ProgID="Equation.DSMT4" ShapeID="_x0000_i1025" DrawAspect="Content" ObjectID="_1630353873" r:id="rId10"/>
        </w:object>
      </w:r>
      <w:bookmarkEnd w:id="9"/>
      <w:r>
        <w:rPr>
          <w:lang w:eastAsia="zh-CN"/>
        </w:rPr>
        <w:t xml:space="preserve"> </w:t>
      </w:r>
    </w:p>
    <w:p w14:paraId="1FBF90A1" w14:textId="74AB05F5" w:rsidR="009B2D4F" w:rsidRDefault="009B2D4F" w:rsidP="008E3B4F">
      <w:pPr>
        <w:pStyle w:val="a0"/>
        <w:rPr>
          <w:lang w:eastAsia="zh-CN"/>
        </w:rPr>
      </w:pPr>
      <w:r>
        <w:rPr>
          <w:rFonts w:hint="eastAsia"/>
          <w:lang w:eastAsia="zh-CN"/>
        </w:rPr>
        <w:t>T</w:t>
      </w:r>
      <w:r>
        <w:rPr>
          <w:lang w:eastAsia="zh-CN"/>
        </w:rPr>
        <w:t xml:space="preserve">he sensitivity of </w:t>
      </w:r>
      <w:r w:rsidRPr="009B2D4F">
        <w:rPr>
          <w:lang w:eastAsia="zh-CN"/>
        </w:rPr>
        <w:t>triple test</w:t>
      </w:r>
      <w:r>
        <w:rPr>
          <w:lang w:eastAsia="zh-CN"/>
        </w:rPr>
        <w:t xml:space="preserve">: </w:t>
      </w:r>
      <w:r w:rsidRPr="009B2D4F">
        <w:rPr>
          <w:position w:val="-10"/>
        </w:rPr>
        <w:object w:dxaOrig="1400" w:dyaOrig="320" w14:anchorId="625F3751">
          <v:shape id="_x0000_i1026" type="#_x0000_t75" style="width:70.2pt;height:16.2pt" o:ole="">
            <v:imagedata r:id="rId11" o:title=""/>
          </v:shape>
          <o:OLEObject Type="Embed" ProgID="Equation.DSMT4" ShapeID="_x0000_i1026" DrawAspect="Content" ObjectID="_1630353874" r:id="rId12"/>
        </w:object>
      </w:r>
      <w:r>
        <w:rPr>
          <w:lang w:eastAsia="zh-CN"/>
        </w:rPr>
        <w:t xml:space="preserve"> </w:t>
      </w:r>
    </w:p>
    <w:p w14:paraId="11EA4109" w14:textId="77777777" w:rsidR="009B2D4F" w:rsidRDefault="009B2D4F" w:rsidP="008E3B4F">
      <w:pPr>
        <w:pStyle w:val="a0"/>
      </w:pPr>
      <w:r>
        <w:rPr>
          <w:lang w:eastAsia="zh-CN"/>
        </w:rPr>
        <w:t xml:space="preserve">The </w:t>
      </w:r>
      <w:r w:rsidRPr="009B2D4F">
        <w:rPr>
          <w:lang w:eastAsia="zh-CN"/>
        </w:rPr>
        <w:t>false-positive rate</w:t>
      </w:r>
      <w:r>
        <w:rPr>
          <w:lang w:eastAsia="zh-CN"/>
        </w:rPr>
        <w:t xml:space="preserve">: </w:t>
      </w:r>
      <w:r w:rsidRPr="009B2D4F">
        <w:rPr>
          <w:position w:val="-10"/>
        </w:rPr>
        <w:object w:dxaOrig="1660" w:dyaOrig="360" w14:anchorId="1E03767D">
          <v:shape id="_x0000_i1027" type="#_x0000_t75" style="width:82.8pt;height:18pt" o:ole="">
            <v:imagedata r:id="rId13" o:title=""/>
          </v:shape>
          <o:OLEObject Type="Embed" ProgID="Equation.DSMT4" ShapeID="_x0000_i1027" DrawAspect="Content" ObjectID="_1630353875" r:id="rId14"/>
        </w:object>
      </w:r>
    </w:p>
    <w:p w14:paraId="44B8F33D" w14:textId="4902F489" w:rsidR="00407EE3" w:rsidRDefault="009B2D4F" w:rsidP="00407EE3">
      <w:pPr>
        <w:pStyle w:val="a0"/>
        <w:rPr>
          <w:lang w:eastAsia="zh-CN"/>
        </w:rPr>
      </w:pPr>
      <w:r>
        <w:rPr>
          <w:lang w:eastAsia="zh-CN"/>
        </w:rPr>
        <w:lastRenderedPageBreak/>
        <w:t xml:space="preserve"> </w:t>
      </w:r>
      <w:r>
        <w:rPr>
          <w:rFonts w:hint="eastAsia"/>
          <w:lang w:eastAsia="zh-CN"/>
        </w:rPr>
        <w:t>T</w:t>
      </w:r>
      <w:r>
        <w:rPr>
          <w:lang w:eastAsia="zh-CN"/>
        </w:rPr>
        <w:t xml:space="preserve">he probability of positive predictive value: </w:t>
      </w:r>
      <w:r w:rsidR="00F029BB" w:rsidRPr="00F029BB">
        <w:rPr>
          <w:position w:val="-28"/>
        </w:rPr>
        <w:object w:dxaOrig="7900" w:dyaOrig="660" w14:anchorId="1D10A870">
          <v:shape id="_x0000_i1028" type="#_x0000_t75" style="width:394.8pt;height:33pt" o:ole="">
            <v:imagedata r:id="rId15" o:title=""/>
          </v:shape>
          <o:OLEObject Type="Embed" ProgID="Equation.DSMT4" ShapeID="_x0000_i1028" DrawAspect="Content" ObjectID="_1630353876" r:id="rId16"/>
        </w:object>
      </w:r>
      <w:r w:rsidR="00F029BB">
        <w:rPr>
          <w:lang w:eastAsia="zh-CN"/>
        </w:rPr>
        <w:t xml:space="preserve"> </w:t>
      </w:r>
    </w:p>
    <w:p w14:paraId="116BFBA5" w14:textId="0A4D1787" w:rsidR="00F029BB" w:rsidRDefault="00F029BB" w:rsidP="00407EE3">
      <w:pPr>
        <w:pStyle w:val="a0"/>
        <w:rPr>
          <w:lang w:eastAsia="zh-CN"/>
        </w:rPr>
      </w:pPr>
      <w:r>
        <w:rPr>
          <w:rFonts w:hint="eastAsia"/>
          <w:lang w:eastAsia="zh-CN"/>
        </w:rPr>
        <w:t>T</w:t>
      </w:r>
      <w:r>
        <w:rPr>
          <w:lang w:eastAsia="zh-CN"/>
        </w:rPr>
        <w:t xml:space="preserve">he magnitude </w:t>
      </w:r>
      <w:r w:rsidR="002A2197">
        <w:rPr>
          <w:lang w:eastAsia="zh-CN"/>
        </w:rPr>
        <w:t xml:space="preserve">is so small compared with the cfDNA tests and biochemical screening test. </w:t>
      </w:r>
      <w:r w:rsidR="00F54ADC">
        <w:rPr>
          <w:lang w:eastAsia="zh-CN"/>
        </w:rPr>
        <w:t xml:space="preserve"> Since prevalence plays an integral role in PPV, the possible reason that </w:t>
      </w:r>
      <w:r w:rsidR="00F54ADC" w:rsidRPr="00F54ADC">
        <w:rPr>
          <w:lang w:eastAsia="zh-CN"/>
        </w:rPr>
        <w:t>triple test</w:t>
      </w:r>
      <w:r w:rsidR="00F54ADC">
        <w:rPr>
          <w:lang w:eastAsia="zh-CN"/>
        </w:rPr>
        <w:t xml:space="preserve"> obtains such low PPV is due to the different prevalence in different areas and different populations. </w:t>
      </w:r>
    </w:p>
    <w:p w14:paraId="2B1FE0F4" w14:textId="0105A924" w:rsidR="007E3C48" w:rsidRPr="007E3C48" w:rsidRDefault="00407EE3" w:rsidP="007E3C48">
      <w:pPr>
        <w:pStyle w:val="1"/>
      </w:pPr>
      <w:bookmarkStart w:id="10" w:name="problem-3"/>
      <w:r>
        <w:t>Problem 3</w:t>
      </w:r>
      <w:bookmarkEnd w:id="10"/>
    </w:p>
    <w:p w14:paraId="4491A8CD" w14:textId="77777777" w:rsidR="00407EE3" w:rsidRDefault="00407EE3" w:rsidP="00407EE3">
      <w:r>
        <w:t>Primary information about the study:</w:t>
      </w:r>
    </w:p>
    <w:p w14:paraId="2305A58E" w14:textId="6BF8F103" w:rsidR="00407EE3" w:rsidRDefault="00407EE3" w:rsidP="00407EE3">
      <w:r>
        <w:rPr>
          <w:rFonts w:hint="eastAsia"/>
        </w:rPr>
        <w:t>The</w:t>
      </w:r>
      <w:r>
        <w:t xml:space="preserve"> study was about association of midlife to late-life blood pressure patterns with incident dementia</w:t>
      </w:r>
      <w:r w:rsidR="00E659E6">
        <w:rPr>
          <w:sz w:val="16"/>
          <w:szCs w:val="16"/>
        </w:rPr>
        <w:fldChar w:fldCharType="begin"/>
      </w:r>
      <w:r w:rsidR="00E659E6">
        <w:rPr>
          <w:sz w:val="16"/>
          <w:szCs w:val="16"/>
        </w:rPr>
        <w:instrText xml:space="preserve"> ADDIN NE.Ref.{5E4449D8-153C-46F7-A460-991DD8C64ABB}</w:instrText>
      </w:r>
      <w:r w:rsidR="00E659E6">
        <w:rPr>
          <w:sz w:val="16"/>
          <w:szCs w:val="16"/>
        </w:rPr>
        <w:fldChar w:fldCharType="separate"/>
      </w:r>
      <w:r w:rsidR="00E659E6">
        <w:rPr>
          <w:rFonts w:ascii="Cambria" w:hAnsi="Cambria" w:cs="Cambria"/>
          <w:color w:val="080000"/>
          <w:sz w:val="16"/>
          <w:szCs w:val="16"/>
        </w:rPr>
        <w:t>[1]</w:t>
      </w:r>
      <w:r w:rsidR="00E659E6">
        <w:rPr>
          <w:sz w:val="16"/>
          <w:szCs w:val="16"/>
        </w:rPr>
        <w:fldChar w:fldCharType="end"/>
      </w:r>
      <w:r>
        <w:t xml:space="preserve">. It was a prospective population-based cohort study. The sample size was 4761 patients. And the population of interest was midlife people with normotension, hypertension or hypotension. The exposures were normotension, hypertension and hypotension. There were totally 6 visits during the study. The main outcome of the study was dementia onset after fifth visit. </w:t>
      </w:r>
    </w:p>
    <w:p w14:paraId="17389948" w14:textId="715D1254" w:rsidR="00E659E6" w:rsidRDefault="00407EE3" w:rsidP="00407EE3">
      <w:r>
        <w:t xml:space="preserve">The results in the article said that Participants in the midlife and late-life hypertension group and in the midlife hypertension and late-life hypotension group obtained </w:t>
      </w:r>
      <w:r w:rsidRPr="00EE4BCD">
        <w:t xml:space="preserve">hazard ratio </w:t>
      </w:r>
      <w:r>
        <w:t xml:space="preserve">(HR), 1.49 with </w:t>
      </w:r>
      <w:r w:rsidRPr="00EE4BCD">
        <w:t xml:space="preserve">95%CI, 1.06-2.08 </w:t>
      </w:r>
      <w:r>
        <w:t xml:space="preserve">and </w:t>
      </w:r>
      <w:r w:rsidRPr="00EE4BCD">
        <w:t xml:space="preserve">HR, 1.62 </w:t>
      </w:r>
      <w:r>
        <w:t xml:space="preserve">with </w:t>
      </w:r>
      <w:r w:rsidRPr="00EE4BCD">
        <w:t>95%CI, 1.11-2.37</w:t>
      </w:r>
      <w:r>
        <w:t>, respectively, which means both groups contained statistical significantly higher risk than normotension group. To sum up, people having hypertension at midlife are more likely to obtain dementia in their late-life.</w:t>
      </w:r>
    </w:p>
    <w:p w14:paraId="447EBD94" w14:textId="77777777" w:rsidR="00407EE3" w:rsidRDefault="00407EE3" w:rsidP="00407EE3">
      <w:r>
        <w:rPr>
          <w:rFonts w:hint="eastAsia"/>
        </w:rPr>
        <w:t>P</w:t>
      </w:r>
      <w:r>
        <w:t>ros:</w:t>
      </w:r>
    </w:p>
    <w:p w14:paraId="4D3BAB5C" w14:textId="77777777" w:rsidR="00407EE3" w:rsidRDefault="00407EE3" w:rsidP="00407EE3">
      <w:pPr>
        <w:pStyle w:val="af2"/>
        <w:numPr>
          <w:ilvl w:val="0"/>
          <w:numId w:val="3"/>
        </w:numPr>
        <w:ind w:firstLineChars="0"/>
      </w:pPr>
      <w:r>
        <w:t xml:space="preserve">The sample size is big enough, so the result is more reliable and </w:t>
      </w:r>
      <w:r w:rsidRPr="008D56B1">
        <w:t>authoritative</w:t>
      </w:r>
      <w:r>
        <w:t xml:space="preserve"> than studies containing small sample sizes. </w:t>
      </w:r>
    </w:p>
    <w:p w14:paraId="0529C50A" w14:textId="77777777" w:rsidR="00407EE3" w:rsidRDefault="00407EE3" w:rsidP="00407EE3">
      <w:pPr>
        <w:pStyle w:val="af2"/>
        <w:numPr>
          <w:ilvl w:val="0"/>
          <w:numId w:val="3"/>
        </w:numPr>
        <w:ind w:firstLineChars="0"/>
      </w:pPr>
      <w:r>
        <w:t>It is designed as cohort study rather than case-control study, so it contains less bias than the case-control study. Besides, it last for over 24 years, which is a relatively long time. As a result, because of both of reasons above, cause-effect is easier to established due to temporality.</w:t>
      </w:r>
    </w:p>
    <w:p w14:paraId="2E78B13A" w14:textId="77777777" w:rsidR="00407EE3" w:rsidRDefault="00407EE3" w:rsidP="00407EE3">
      <w:pPr>
        <w:pStyle w:val="af2"/>
        <w:numPr>
          <w:ilvl w:val="0"/>
          <w:numId w:val="3"/>
        </w:numPr>
        <w:ind w:firstLineChars="0"/>
      </w:pPr>
      <w:r>
        <w:rPr>
          <w:rFonts w:hint="eastAsia"/>
        </w:rPr>
        <w:t>T</w:t>
      </w:r>
      <w:r>
        <w:t xml:space="preserve">he study excludes participants who met criteria for dementia before or at visit 5, which is a </w:t>
      </w:r>
      <w:r w:rsidRPr="008A61ED">
        <w:t>rigorous</w:t>
      </w:r>
      <w:r>
        <w:t xml:space="preserve"> way to ensure that the study is examining the long-term relationship between blood pressure and dementia.</w:t>
      </w:r>
    </w:p>
    <w:p w14:paraId="6733D86F" w14:textId="77777777" w:rsidR="00407EE3" w:rsidRDefault="00407EE3" w:rsidP="00407EE3">
      <w:pPr>
        <w:pStyle w:val="af2"/>
        <w:numPr>
          <w:ilvl w:val="0"/>
          <w:numId w:val="3"/>
        </w:numPr>
        <w:ind w:firstLineChars="0"/>
      </w:pPr>
      <w:r>
        <w:t>The study applies several measurements to diagnose the dementia, which will make the study more precise.</w:t>
      </w:r>
    </w:p>
    <w:p w14:paraId="7E702F5E" w14:textId="525B6609" w:rsidR="0008536C" w:rsidRDefault="00407EE3" w:rsidP="0008536C">
      <w:pPr>
        <w:pStyle w:val="af2"/>
        <w:numPr>
          <w:ilvl w:val="0"/>
          <w:numId w:val="3"/>
        </w:numPr>
        <w:ind w:firstLineChars="0"/>
      </w:pPr>
      <w:r>
        <w:t>A proportional hazards assumption was tested before cox model, which is of great importance to choose the appropriate statistics model. Moreover, u</w:t>
      </w:r>
      <w:r w:rsidRPr="001D061C">
        <w:t>tiliz</w:t>
      </w:r>
      <w:r>
        <w:t xml:space="preserve">ing cox proportional hazards regression models, the study makes the best use of the data including the censoring. </w:t>
      </w:r>
    </w:p>
    <w:p w14:paraId="1766423C" w14:textId="77777777" w:rsidR="0008536C" w:rsidRDefault="0008536C" w:rsidP="0008536C">
      <w:pPr>
        <w:pStyle w:val="af2"/>
        <w:ind w:left="360" w:firstLineChars="0" w:firstLine="0"/>
      </w:pPr>
    </w:p>
    <w:p w14:paraId="52FFAC92" w14:textId="77777777" w:rsidR="00407EE3" w:rsidRDefault="00407EE3" w:rsidP="00407EE3">
      <w:r>
        <w:rPr>
          <w:rFonts w:hint="eastAsia"/>
        </w:rPr>
        <w:t>C</w:t>
      </w:r>
      <w:r>
        <w:t>ons (potential bias):</w:t>
      </w:r>
    </w:p>
    <w:p w14:paraId="358C3681" w14:textId="702E0EA4" w:rsidR="00407EE3" w:rsidRDefault="00407EE3" w:rsidP="00407EE3">
      <w:pPr>
        <w:pStyle w:val="af2"/>
        <w:numPr>
          <w:ilvl w:val="0"/>
          <w:numId w:val="4"/>
        </w:numPr>
        <w:ind w:firstLineChars="0"/>
      </w:pPr>
      <w:r>
        <w:t xml:space="preserve">The criteria for testing late-life normotension, hypertension and hypotension was just </w:t>
      </w:r>
      <w:r w:rsidR="002163C4">
        <w:t>conducted</w:t>
      </w:r>
      <w:r>
        <w:t xml:space="preserve"> at fifth visit, which may not be a valid measurement to group people. I mean that some people may be miss-grouped. As a result, such bias may affect the outcome.</w:t>
      </w:r>
    </w:p>
    <w:p w14:paraId="5F13C80E" w14:textId="77777777" w:rsidR="00407EE3" w:rsidRDefault="00407EE3" w:rsidP="00407EE3">
      <w:pPr>
        <w:pStyle w:val="af2"/>
        <w:numPr>
          <w:ilvl w:val="0"/>
          <w:numId w:val="4"/>
        </w:numPr>
        <w:ind w:firstLineChars="0"/>
      </w:pPr>
      <w:r>
        <w:rPr>
          <w:rFonts w:hint="eastAsia"/>
        </w:rPr>
        <w:lastRenderedPageBreak/>
        <w:t>T</w:t>
      </w:r>
      <w:r>
        <w:t>he criteria fails to indicate the effect of medication, such as antihypertensive medication use, so it could be a confounder of the study and become a potential bias to affect outcome.</w:t>
      </w:r>
    </w:p>
    <w:p w14:paraId="14EEAF15" w14:textId="5BDBDFCB" w:rsidR="00407EE3" w:rsidRDefault="00407EE3" w:rsidP="00407EE3">
      <w:pPr>
        <w:pStyle w:val="af2"/>
        <w:numPr>
          <w:ilvl w:val="0"/>
          <w:numId w:val="4"/>
        </w:numPr>
        <w:ind w:firstLineChars="0"/>
      </w:pPr>
      <w:r>
        <w:rPr>
          <w:rFonts w:hint="eastAsia"/>
        </w:rPr>
        <w:t>T</w:t>
      </w:r>
      <w:r>
        <w:t>he study includes 4 U.S. communities, but the analysis do</w:t>
      </w:r>
      <w:r w:rsidR="002163C4">
        <w:t>es</w:t>
      </w:r>
      <w:r>
        <w:t xml:space="preserve"> not indicate the potential difference between communities and </w:t>
      </w:r>
      <w:r w:rsidR="002163C4">
        <w:t xml:space="preserve">does not point out that </w:t>
      </w:r>
      <w:r>
        <w:t xml:space="preserve">whether </w:t>
      </w:r>
      <w:r w:rsidR="002163C4">
        <w:t>these communities</w:t>
      </w:r>
      <w:r>
        <w:t xml:space="preserve"> can represent the whole population of interest. </w:t>
      </w:r>
    </w:p>
    <w:p w14:paraId="6289C565" w14:textId="77777777" w:rsidR="007E3C48" w:rsidRDefault="007E3C48" w:rsidP="007E3C48"/>
    <w:p w14:paraId="23BF84FC" w14:textId="77777777" w:rsidR="00407EE3" w:rsidRDefault="00407EE3" w:rsidP="00407EE3">
      <w:pPr>
        <w:autoSpaceDE w:val="0"/>
        <w:autoSpaceDN w:val="0"/>
        <w:adjustRightInd w:val="0"/>
      </w:pPr>
      <w:r>
        <w:t>M</w:t>
      </w:r>
      <w:r>
        <w:rPr>
          <w:rFonts w:hint="eastAsia"/>
        </w:rPr>
        <w:t>edia</w:t>
      </w:r>
      <w:r>
        <w:t xml:space="preserve"> link: </w:t>
      </w:r>
    </w:p>
    <w:p w14:paraId="42A7FC69" w14:textId="77777777" w:rsidR="00E659E6" w:rsidRPr="00E659E6" w:rsidRDefault="009F29D3" w:rsidP="00E659E6">
      <w:pPr>
        <w:widowControl w:val="0"/>
        <w:autoSpaceDE w:val="0"/>
        <w:autoSpaceDN w:val="0"/>
        <w:adjustRightInd w:val="0"/>
        <w:spacing w:after="0"/>
        <w:rPr>
          <w:rFonts w:ascii="Times New Roman" w:hAnsi="Times New Roman" w:cs="Times New Roman"/>
          <w:sz w:val="22"/>
          <w:szCs w:val="22"/>
        </w:rPr>
      </w:pPr>
      <w:hyperlink r:id="rId17" w:history="1">
        <w:r w:rsidR="00407EE3">
          <w:rPr>
            <w:rStyle w:val="ad"/>
          </w:rPr>
          <w:t>https://www.cbsnews.com/news/controlling-blood-pressure-may-help-prevent-dementia/</w:t>
        </w:r>
      </w:hyperlink>
      <w:r w:rsidR="00E659E6">
        <w:fldChar w:fldCharType="begin"/>
      </w:r>
      <w:r w:rsidR="00E659E6">
        <w:instrText xml:space="preserve"> ADDIN NE.Bib</w:instrText>
      </w:r>
      <w:r w:rsidR="00E659E6">
        <w:fldChar w:fldCharType="separate"/>
      </w:r>
    </w:p>
    <w:p w14:paraId="418B323E" w14:textId="77777777" w:rsidR="00E659E6" w:rsidRPr="00E659E6" w:rsidRDefault="00E659E6" w:rsidP="00E659E6">
      <w:pPr>
        <w:widowControl w:val="0"/>
        <w:autoSpaceDE w:val="0"/>
        <w:autoSpaceDN w:val="0"/>
        <w:adjustRightInd w:val="0"/>
        <w:spacing w:after="0"/>
        <w:jc w:val="center"/>
        <w:rPr>
          <w:rFonts w:ascii="Times New Roman" w:hAnsi="Times New Roman" w:cs="Times New Roman"/>
          <w:sz w:val="22"/>
          <w:szCs w:val="22"/>
        </w:rPr>
      </w:pPr>
      <w:r w:rsidRPr="00E659E6">
        <w:rPr>
          <w:rFonts w:ascii="Times New Roman" w:hAnsi="Times New Roman" w:cs="Times New Roman"/>
          <w:b/>
          <w:bCs/>
          <w:color w:val="000000"/>
          <w:sz w:val="36"/>
          <w:szCs w:val="36"/>
        </w:rPr>
        <w:t>References:</w:t>
      </w:r>
    </w:p>
    <w:p w14:paraId="14135628" w14:textId="3D75BE6E" w:rsidR="00E659E6" w:rsidRDefault="00E659E6" w:rsidP="00E659E6">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color w:val="000000"/>
          <w:sz w:val="20"/>
          <w:szCs w:val="20"/>
        </w:rPr>
        <w:t>[1].</w:t>
      </w:r>
      <w:bookmarkStart w:id="11" w:name="_neb7F383C18_AF9A_40DE_96EC_2B4E92037B27"/>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Keenan A. Walker, P., et al., Association of Midlife to Late-Life Blood Pressure Patterns With Incident Dementia. JAMA Original Investigation, 2019: p. 322(6):535-545.</w:t>
      </w:r>
      <w:bookmarkEnd w:id="11"/>
    </w:p>
    <w:p w14:paraId="68882EE9" w14:textId="77777777" w:rsidR="00E659E6" w:rsidRDefault="00E659E6" w:rsidP="00E659E6">
      <w:pPr>
        <w:widowControl w:val="0"/>
        <w:autoSpaceDE w:val="0"/>
        <w:autoSpaceDN w:val="0"/>
        <w:adjustRightInd w:val="0"/>
        <w:spacing w:after="0"/>
        <w:rPr>
          <w:rFonts w:ascii="Times New Roman" w:hAnsi="Times New Roman" w:cs="Times New Roman"/>
        </w:rPr>
      </w:pPr>
      <w:r>
        <w:fldChar w:fldCharType="end"/>
      </w:r>
      <w:r>
        <w:fldChar w:fldCharType="begin"/>
      </w:r>
      <w:r>
        <w:instrText xml:space="preserve"> ADDIN NE.Rep</w:instrText>
      </w:r>
      <w:r>
        <w:fldChar w:fldCharType="separate"/>
      </w:r>
    </w:p>
    <w:p w14:paraId="00FA7E18" w14:textId="756E25CD" w:rsidR="00407EE3" w:rsidRPr="00407EE3" w:rsidRDefault="00E659E6" w:rsidP="00407EE3">
      <w:pPr>
        <w:pStyle w:val="a0"/>
      </w:pPr>
      <w:r>
        <w:fldChar w:fldCharType="end"/>
      </w:r>
    </w:p>
    <w:sectPr w:rsidR="00407EE3" w:rsidRPr="00407EE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0CA93" w14:textId="77777777" w:rsidR="009F29D3" w:rsidRDefault="009F29D3">
      <w:pPr>
        <w:spacing w:after="0"/>
      </w:pPr>
      <w:r>
        <w:separator/>
      </w:r>
    </w:p>
  </w:endnote>
  <w:endnote w:type="continuationSeparator" w:id="0">
    <w:p w14:paraId="4CE9D387" w14:textId="77777777" w:rsidR="009F29D3" w:rsidRDefault="009F2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4AA11" w14:textId="77777777" w:rsidR="009F29D3" w:rsidRDefault="009F29D3">
      <w:r>
        <w:separator/>
      </w:r>
    </w:p>
  </w:footnote>
  <w:footnote w:type="continuationSeparator" w:id="0">
    <w:p w14:paraId="3AD6AEBB" w14:textId="77777777" w:rsidR="009F29D3" w:rsidRDefault="009F2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4A42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9686486"/>
    <w:multiLevelType w:val="hybridMultilevel"/>
    <w:tmpl w:val="09F6A816"/>
    <w:lvl w:ilvl="0" w:tplc="39E80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1AE401"/>
    <w:multiLevelType w:val="multilevel"/>
    <w:tmpl w:val="9D402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AE63FA"/>
    <w:multiLevelType w:val="hybridMultilevel"/>
    <w:tmpl w:val="D414BF9C"/>
    <w:lvl w:ilvl="0" w:tplc="6F06C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E.Ref{5E4449D8-153C-46F7-A460-991DD8C64ABB}" w:val=" ADDIN NE.Ref.{5E4449D8-153C-46F7-A460-991DD8C64ABB}&lt;Citation&gt;&lt;Group&gt;&lt;References&gt;&lt;Item&gt;&lt;ID&gt;391&lt;/ID&gt;&lt;UID&gt;{7F383C18-AF9A-40DE-96EC-2B4E92037B27}&lt;/UID&gt;&lt;Title&gt;Association of Midlife to Late-Life Blood Pressure Patterns With Incident Dementia&lt;/Title&gt;&lt;Template&gt;Journal Article&lt;/Template&gt;&lt;Star&gt;0&lt;/Star&gt;&lt;Tag&gt;0&lt;/Tag&gt;&lt;Author&gt;Keenan A. Walker, PhD; A. Richey Sharrett, MD DrPH; AozhouWu, PhD MHS; Andrea L. C. Schneider, MD PhD; Marilyn Albert, PhD; Pamela L. Lutsey, PhD MPH; Karen Bandeen-Roche, PhD; Josef Coresh, MD PhD; Alden L. Gross, PhD MHS; B. Gwen Windham, MD MHS; David S. Knopman, MD; Melinda C. Power, ScD; Andreea M. Rawlings, PhD MS; Thomas H. Mosley, PhD; Rebecca F. Gottesman, MD PhD&lt;/Author&gt;&lt;Year&gt;2019&lt;/Year&gt;&lt;Details&gt;&lt;_collection_scope&gt;SCIE&lt;/_collection_scope&gt;&lt;_created&gt;62961195&lt;/_created&gt;&lt;_journal&gt;JAMA Original Investigation&lt;/_journal&gt;&lt;_modified&gt;62963955&lt;/_modified&gt;&lt;_pages&gt;322(6):535-545&lt;/_pages&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590D07"/>
    <w:rsid w:val="00011C8B"/>
    <w:rsid w:val="0008536C"/>
    <w:rsid w:val="00087CEF"/>
    <w:rsid w:val="001B43F1"/>
    <w:rsid w:val="002163C4"/>
    <w:rsid w:val="0024218D"/>
    <w:rsid w:val="0029667E"/>
    <w:rsid w:val="002A2197"/>
    <w:rsid w:val="002E1E46"/>
    <w:rsid w:val="00407EE3"/>
    <w:rsid w:val="004848AB"/>
    <w:rsid w:val="004E29B3"/>
    <w:rsid w:val="00590D07"/>
    <w:rsid w:val="005961D8"/>
    <w:rsid w:val="005C202C"/>
    <w:rsid w:val="006079A3"/>
    <w:rsid w:val="007539A3"/>
    <w:rsid w:val="007648C9"/>
    <w:rsid w:val="00784D58"/>
    <w:rsid w:val="007E3C48"/>
    <w:rsid w:val="008D6863"/>
    <w:rsid w:val="008E3B4F"/>
    <w:rsid w:val="00914B10"/>
    <w:rsid w:val="0098490A"/>
    <w:rsid w:val="009B2D4F"/>
    <w:rsid w:val="009C2AA5"/>
    <w:rsid w:val="009F29D3"/>
    <w:rsid w:val="00AB0ECF"/>
    <w:rsid w:val="00B86B75"/>
    <w:rsid w:val="00BB3D88"/>
    <w:rsid w:val="00BC48D5"/>
    <w:rsid w:val="00C36279"/>
    <w:rsid w:val="00C44432"/>
    <w:rsid w:val="00CA7FB3"/>
    <w:rsid w:val="00D1633B"/>
    <w:rsid w:val="00D80976"/>
    <w:rsid w:val="00DD0459"/>
    <w:rsid w:val="00DD15E5"/>
    <w:rsid w:val="00E315A3"/>
    <w:rsid w:val="00E659E6"/>
    <w:rsid w:val="00F029BB"/>
    <w:rsid w:val="00F44FBF"/>
    <w:rsid w:val="00F54A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A9E98"/>
  <w15:docId w15:val="{C91D756A-1DAD-4E13-9C14-9E639010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C4443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44432"/>
    <w:rPr>
      <w:sz w:val="18"/>
      <w:szCs w:val="18"/>
    </w:rPr>
  </w:style>
  <w:style w:type="paragraph" w:styleId="af0">
    <w:name w:val="footer"/>
    <w:basedOn w:val="a"/>
    <w:link w:val="af1"/>
    <w:unhideWhenUsed/>
    <w:rsid w:val="00C44432"/>
    <w:pPr>
      <w:tabs>
        <w:tab w:val="center" w:pos="4153"/>
        <w:tab w:val="right" w:pos="8306"/>
      </w:tabs>
      <w:snapToGrid w:val="0"/>
    </w:pPr>
    <w:rPr>
      <w:sz w:val="18"/>
      <w:szCs w:val="18"/>
    </w:rPr>
  </w:style>
  <w:style w:type="character" w:customStyle="1" w:styleId="af1">
    <w:name w:val="页脚 字符"/>
    <w:basedOn w:val="a1"/>
    <w:link w:val="af0"/>
    <w:rsid w:val="00C44432"/>
    <w:rPr>
      <w:sz w:val="18"/>
      <w:szCs w:val="18"/>
    </w:rPr>
  </w:style>
  <w:style w:type="paragraph" w:styleId="af2">
    <w:name w:val="List Paragraph"/>
    <w:basedOn w:val="a"/>
    <w:uiPriority w:val="34"/>
    <w:qFormat/>
    <w:rsid w:val="00407EE3"/>
    <w:pPr>
      <w:widowControl w:val="0"/>
      <w:spacing w:after="0"/>
      <w:ind w:firstLineChars="200" w:firstLine="420"/>
      <w:jc w:val="both"/>
    </w:pPr>
    <w:rPr>
      <w:kern w:val="2"/>
      <w:sz w:val="21"/>
      <w:szCs w:val="22"/>
      <w:lang w:eastAsia="zh-CN"/>
    </w:rPr>
  </w:style>
  <w:style w:type="character" w:styleId="af3">
    <w:name w:val="Placeholder Text"/>
    <w:basedOn w:val="a1"/>
    <w:semiHidden/>
    <w:rsid w:val="00F44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832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yperlink" Target="https://www.cbsnews.com/news/controlling-blood-pressure-may-help-prevent-dementia/" TargetMode="Externa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2222</Words>
  <Characters>9333</Characters>
  <Application>Microsoft Office Word</Application>
  <DocSecurity>0</DocSecurity>
  <Lines>345</Lines>
  <Paragraphs>195</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Ruoyuan Qian</dc:creator>
  <cp:keywords/>
  <dc:description>NE.Rep</dc:description>
  <cp:lastModifiedBy>ruoyuan qian</cp:lastModifiedBy>
  <cp:revision>4</cp:revision>
  <dcterms:created xsi:type="dcterms:W3CDTF">2019-09-19T03:08:00Z</dcterms:created>
  <dcterms:modified xsi:type="dcterms:W3CDTF">2019-09-19T03:17:00Z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2019/9/17</vt:lpwstr>
  </property>
  <property fmtid="{D5CDD505-2E9C-101B-9397-08002B2CF9AE}" pid="3" name="output">
    <vt:lpwstr>word_document</vt:lpwstr>
  </property>
</Properties>
</file>