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PROJECT CHARTER</w:t>
      </w:r>
    </w:p>
    <w:p>
      <w:pPr>
        <w:jc w:val="center"/>
      </w:pPr>
      <w:r>
        <w:rPr>
          <w:i/>
        </w:rPr>
        <w:t>Customer Digital Portal (PRJ-101)</w:t>
      </w:r>
    </w:p>
    <w:p>
      <w:pPr>
        <w:jc w:val="center"/>
      </w:pPr>
      <w:r>
        <w:rPr>
          <w:sz w:val="18"/>
        </w:rPr>
        <w:t>Fictional enterprise case study | Version 1.0 | Status date: 23 October 2026</w:t>
      </w:r>
    </w:p>
    <w:p>
      <w:pPr>
        <w:pStyle w:val="Heading1"/>
      </w:pPr>
      <w:r>
        <w:t>1. Executive Summary</w:t>
      </w:r>
    </w:p>
    <w:p>
      <w:r>
        <w:t>The Customer Digital Portal programme will provide customers with a secure, accessible digital channel for common servicing journeys. The initiative aims to reduce avoidable contact-centre demand, improve customer experience, and create a maintainable foundation for future digital services. This charter authorises planning and delivery activities for the defined scope; it does not constitute approval to exceed the approved budget or bypass security, privacy, or operational controls.</w:t>
      </w:r>
    </w:p>
    <w:p>
      <w:pPr>
        <w:pStyle w:val="Heading1"/>
      </w:pPr>
      <w:r>
        <w:t>2. Business Problem and Opportunity</w:t>
      </w:r>
    </w:p>
    <w:p>
      <w:r>
        <w:t>Customers currently rely on a mix of assisted channels and fragmented digital journeys. This creates avoidable effort for customers and service teams, inconsistent status visibility, and limited ability to measure completion across journeys. A unified portal is expected to improve self-service while preserving appropriate assisted support for complex or sensitive cases.</w:t>
      </w:r>
    </w:p>
    <w:p>
      <w:pPr>
        <w:pStyle w:val="Heading1"/>
      </w:pPr>
      <w:r>
        <w:t>3. Objectives and Success Measures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Objective</w:t>
            </w:r>
          </w:p>
        </w:tc>
        <w:tc>
          <w:tcPr>
            <w:tcW w:type="dxa" w:w="3312"/>
          </w:tcPr>
          <w:p>
            <w:r>
              <w:t>Measure</w:t>
            </w:r>
          </w:p>
        </w:tc>
        <w:tc>
          <w:tcPr>
            <w:tcW w:type="dxa" w:w="3312"/>
          </w:tcPr>
          <w:p>
            <w:r>
              <w:t>Initial target</w:t>
            </w:r>
          </w:p>
        </w:tc>
      </w:tr>
      <w:tr>
        <w:tc>
          <w:tcPr>
            <w:tcW w:type="dxa" w:w="3312"/>
          </w:tcPr>
          <w:p>
            <w:r>
              <w:t>Improve self-service completion</w:t>
            </w:r>
          </w:p>
        </w:tc>
        <w:tc>
          <w:tcPr>
            <w:tcW w:type="dxa" w:w="3312"/>
          </w:tcPr>
          <w:p>
            <w:r>
              <w:t>Successful completion rate for in-scope journeys</w:t>
            </w:r>
          </w:p>
        </w:tc>
        <w:tc>
          <w:tcPr>
            <w:tcW w:type="dxa" w:w="3312"/>
          </w:tcPr>
          <w:p>
            <w:r>
              <w:t>At least 80% in pilot</w:t>
            </w:r>
          </w:p>
        </w:tc>
      </w:tr>
      <w:tr>
        <w:tc>
          <w:tcPr>
            <w:tcW w:type="dxa" w:w="3312"/>
          </w:tcPr>
          <w:p>
            <w:r>
              <w:t>Reduce avoidable support demand</w:t>
            </w:r>
          </w:p>
        </w:tc>
        <w:tc>
          <w:tcPr>
            <w:tcW w:type="dxa" w:w="3312"/>
          </w:tcPr>
          <w:p>
            <w:r>
              <w:t>Contact rate for portal-supported journeys</w:t>
            </w:r>
          </w:p>
        </w:tc>
        <w:tc>
          <w:tcPr>
            <w:tcW w:type="dxa" w:w="3312"/>
          </w:tcPr>
          <w:p>
            <w:r>
              <w:t>10% reduction within 3 months of launch</w:t>
            </w:r>
          </w:p>
        </w:tc>
      </w:tr>
      <w:tr>
        <w:tc>
          <w:tcPr>
            <w:tcW w:type="dxa" w:w="3312"/>
          </w:tcPr>
          <w:p>
            <w:r>
              <w:t>Deliver a stable service</w:t>
            </w:r>
          </w:p>
        </w:tc>
        <w:tc>
          <w:tcPr>
            <w:tcW w:type="dxa" w:w="3312"/>
          </w:tcPr>
          <w:p>
            <w:r>
              <w:t>Critical defects at go-live</w:t>
            </w:r>
          </w:p>
        </w:tc>
        <w:tc>
          <w:tcPr>
            <w:tcW w:type="dxa" w:w="3312"/>
          </w:tcPr>
          <w:p>
            <w:r>
              <w:t>Zero open Severity 1 defects</w:t>
            </w:r>
          </w:p>
        </w:tc>
      </w:tr>
      <w:tr>
        <w:tc>
          <w:tcPr>
            <w:tcW w:type="dxa" w:w="3312"/>
          </w:tcPr>
          <w:p>
            <w:r>
              <w:t>Protect customer information</w:t>
            </w:r>
          </w:p>
        </w:tc>
        <w:tc>
          <w:tcPr>
            <w:tcW w:type="dxa" w:w="3312"/>
          </w:tcPr>
          <w:p>
            <w:r>
              <w:t>High-risk security/privacy findings at go-live</w:t>
            </w:r>
          </w:p>
        </w:tc>
        <w:tc>
          <w:tcPr>
            <w:tcW w:type="dxa" w:w="3312"/>
          </w:tcPr>
          <w:p>
            <w:r>
              <w:t>Zero unresolved critical findings</w:t>
            </w:r>
          </w:p>
        </w:tc>
      </w:tr>
      <w:tr>
        <w:tc>
          <w:tcPr>
            <w:tcW w:type="dxa" w:w="3312"/>
          </w:tcPr>
          <w:p>
            <w:r>
              <w:t>Maintain financial control</w:t>
            </w:r>
          </w:p>
        </w:tc>
        <w:tc>
          <w:tcPr>
            <w:tcW w:type="dxa" w:w="3312"/>
          </w:tcPr>
          <w:p>
            <w:r>
              <w:t>Forecast cost against approved baseline</w:t>
            </w:r>
          </w:p>
        </w:tc>
        <w:tc>
          <w:tcPr>
            <w:tcW w:type="dxa" w:w="3312"/>
          </w:tcPr>
          <w:p>
            <w:r>
              <w:t>Within EUR 1,250,000 approved budget unless formally re-baselined</w:t>
            </w:r>
          </w:p>
        </w:tc>
      </w:tr>
    </w:tbl>
    <w:p>
      <w:pPr>
        <w:pStyle w:val="Heading1"/>
      </w:pPr>
      <w:r>
        <w:t>4.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Responsive customer portal for agreed servicing journeys.</w:t>
      </w:r>
    </w:p>
    <w:p>
      <w:pPr>
        <w:pStyle w:val="ListBullet"/>
      </w:pPr>
      <w:r>
        <w:t>Identity-provider integration and role-based access.</w:t>
      </w:r>
    </w:p>
    <w:p>
      <w:pPr>
        <w:pStyle w:val="ListBullet"/>
      </w:pPr>
      <w:r>
        <w:t>Integration with approved customer and case-status APIs.</w:t>
      </w:r>
    </w:p>
    <w:p>
      <w:pPr>
        <w:pStyle w:val="ListBullet"/>
      </w:pPr>
      <w:r>
        <w:t>Accessibility, functional, integration, security, and user-acceptance testing.</w:t>
      </w:r>
    </w:p>
    <w:p>
      <w:pPr>
        <w:pStyle w:val="ListBullet"/>
      </w:pPr>
      <w:r>
        <w:t>Operational handover, monitoring, support runbook, and release readiness.</w:t>
      </w:r>
    </w:p>
    <w:p>
      <w:pPr>
        <w:pStyle w:val="Heading2"/>
      </w:pPr>
      <w:r>
        <w:t>Out of scope</w:t>
      </w:r>
    </w:p>
    <w:p>
      <w:pPr>
        <w:pStyle w:val="ListBullet"/>
      </w:pPr>
      <w:r>
        <w:t>Replacement of core customer-record systems.</w:t>
      </w:r>
    </w:p>
    <w:p>
      <w:pPr>
        <w:pStyle w:val="ListBullet"/>
      </w:pPr>
      <w:r>
        <w:t>Unapproved use of customer data for model training or analytics.</w:t>
      </w:r>
    </w:p>
    <w:p>
      <w:pPr>
        <w:pStyle w:val="ListBullet"/>
      </w:pPr>
      <w:r>
        <w:t>Additional customer journeys not approved through change control.</w:t>
      </w:r>
    </w:p>
    <w:p>
      <w:pPr>
        <w:pStyle w:val="ListBullet"/>
      </w:pPr>
      <w:r>
        <w:t>Automatic production changes without authorised human approval.</w:t>
      </w:r>
    </w:p>
    <w:p>
      <w:pPr>
        <w:pStyle w:val="Heading1"/>
      </w:pPr>
      <w:r>
        <w:t>5. Key Deliverables</w:t>
      </w:r>
    </w:p>
    <w:p>
      <w:pPr>
        <w:pStyle w:val="ListBullet"/>
      </w:pPr>
      <w:r>
        <w:t>Approved requirements and user journeys.</w:t>
      </w:r>
    </w:p>
    <w:p>
      <w:pPr>
        <w:pStyle w:val="ListBullet"/>
      </w:pPr>
      <w:r>
        <w:t>Portal application and API integrations.</w:t>
      </w:r>
    </w:p>
    <w:p>
      <w:pPr>
        <w:pStyle w:val="ListBullet"/>
      </w:pPr>
      <w:r>
        <w:t>Test evidence, defect triage records, and UAT exit recommendation.</w:t>
      </w:r>
    </w:p>
    <w:p>
      <w:pPr>
        <w:pStyle w:val="ListBullet"/>
      </w:pPr>
      <w:r>
        <w:t>Security/privacy assessment and operational readiness pack.</w:t>
      </w:r>
    </w:p>
    <w:p>
      <w:pPr>
        <w:pStyle w:val="ListBullet"/>
      </w:pPr>
      <w:r>
        <w:t>Deployment plan, rollback plan, and post-launch measurement dashboard.</w:t>
      </w:r>
    </w:p>
    <w:p>
      <w:pPr>
        <w:pStyle w:val="Heading1"/>
      </w:pPr>
      <w:r>
        <w:t>6. Governance and Responsibilities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Accountability</w:t>
            </w:r>
          </w:p>
        </w:tc>
        <w:tc>
          <w:tcPr>
            <w:tcW w:type="dxa" w:w="3312"/>
          </w:tcPr>
          <w:p>
            <w:r>
              <w:t>Decision rights</w:t>
            </w:r>
          </w:p>
        </w:tc>
      </w:tr>
      <w:tr>
        <w:tc>
          <w:tcPr>
            <w:tcW w:type="dxa" w:w="3312"/>
          </w:tcPr>
          <w:p>
            <w:r>
              <w:t>Executive Sponsor</w:t>
            </w:r>
          </w:p>
        </w:tc>
        <w:tc>
          <w:tcPr>
            <w:tcW w:type="dxa" w:w="3312"/>
          </w:tcPr>
          <w:p>
            <w:r>
              <w:t>Business outcomes, funding, priority trade-offs</w:t>
            </w:r>
          </w:p>
        </w:tc>
        <w:tc>
          <w:tcPr>
            <w:tcW w:type="dxa" w:w="3312"/>
          </w:tcPr>
          <w:p>
            <w:r>
              <w:t>Approve material scope/funding changes</w:t>
            </w:r>
          </w:p>
        </w:tc>
      </w:tr>
      <w:tr>
        <w:tc>
          <w:tcPr>
            <w:tcW w:type="dxa" w:w="3312"/>
          </w:tcPr>
          <w:p>
            <w:r>
              <w:t>Project Manager</w:t>
            </w:r>
          </w:p>
        </w:tc>
        <w:tc>
          <w:tcPr>
            <w:tcW w:type="dxa" w:w="3312"/>
          </w:tcPr>
          <w:p>
            <w:r>
              <w:t>Plan, delivery coordination, status, RAID and escalation</w:t>
            </w:r>
          </w:p>
        </w:tc>
        <w:tc>
          <w:tcPr>
            <w:tcW w:type="dxa" w:w="3312"/>
          </w:tcPr>
          <w:p>
            <w:r>
              <w:t>Manage within approved tolerances</w:t>
            </w:r>
          </w:p>
        </w:tc>
      </w:tr>
      <w:tr>
        <w:tc>
          <w:tcPr>
            <w:tcW w:type="dxa" w:w="3312"/>
          </w:tcPr>
          <w:p>
            <w:r>
              <w:t>Product Owner</w:t>
            </w:r>
          </w:p>
        </w:tc>
        <w:tc>
          <w:tcPr>
            <w:tcW w:type="dxa" w:w="3312"/>
          </w:tcPr>
          <w:p>
            <w:r>
              <w:t>Requirements, prioritisation, acceptance</w:t>
            </w:r>
          </w:p>
        </w:tc>
        <w:tc>
          <w:tcPr>
            <w:tcW w:type="dxa" w:w="3312"/>
          </w:tcPr>
          <w:p>
            <w:r>
              <w:t>Accept in-scope product increments</w:t>
            </w:r>
          </w:p>
        </w:tc>
      </w:tr>
      <w:tr>
        <w:tc>
          <w:tcPr>
            <w:tcW w:type="dxa" w:w="3312"/>
          </w:tcPr>
          <w:p>
            <w:r>
              <w:t>Solution Architect</w:t>
            </w:r>
          </w:p>
        </w:tc>
        <w:tc>
          <w:tcPr>
            <w:tcW w:type="dxa" w:w="3312"/>
          </w:tcPr>
          <w:p>
            <w:r>
              <w:t>Architecture, integration, non-functional requirements</w:t>
            </w:r>
          </w:p>
        </w:tc>
        <w:tc>
          <w:tcPr>
            <w:tcW w:type="dxa" w:w="3312"/>
          </w:tcPr>
          <w:p>
            <w:r>
              <w:t>Recommend technical design and exceptions</w:t>
            </w:r>
          </w:p>
        </w:tc>
      </w:tr>
      <w:tr>
        <w:tc>
          <w:tcPr>
            <w:tcW w:type="dxa" w:w="3312"/>
          </w:tcPr>
          <w:p>
            <w:r>
              <w:t>Security &amp; Privacy</w:t>
            </w:r>
          </w:p>
        </w:tc>
        <w:tc>
          <w:tcPr>
            <w:tcW w:type="dxa" w:w="3312"/>
          </w:tcPr>
          <w:p>
            <w:r>
              <w:t>Control requirements and assurance</w:t>
            </w:r>
          </w:p>
        </w:tc>
        <w:tc>
          <w:tcPr>
            <w:tcW w:type="dxa" w:w="3312"/>
          </w:tcPr>
          <w:p>
            <w:r>
              <w:t>Approve or reject control exceptions within mandate</w:t>
            </w:r>
          </w:p>
        </w:tc>
      </w:tr>
      <w:tr>
        <w:tc>
          <w:tcPr>
            <w:tcW w:type="dxa" w:w="3312"/>
          </w:tcPr>
          <w:p>
            <w:r>
              <w:t>QA Lead</w:t>
            </w:r>
          </w:p>
        </w:tc>
        <w:tc>
          <w:tcPr>
            <w:tcW w:type="dxa" w:w="3312"/>
          </w:tcPr>
          <w:p>
            <w:r>
              <w:t>Test strategy, defect management, UAT evidence</w:t>
            </w:r>
          </w:p>
        </w:tc>
        <w:tc>
          <w:tcPr>
            <w:tcW w:type="dxa" w:w="3312"/>
          </w:tcPr>
          <w:p>
            <w:r>
              <w:t>Recommend test exit based on agreed criteria</w:t>
            </w:r>
          </w:p>
        </w:tc>
      </w:tr>
    </w:tbl>
    <w:p>
      <w:pPr>
        <w:pStyle w:val="Heading1"/>
      </w:pPr>
      <w:r>
        <w:t>7. High-Level Plan and Milestones</w:t>
      </w:r>
    </w:p>
    <w:p>
      <w:r>
        <w:t>The status dataset dated 23 October 2026 reports identity integration defects as the principal near-term constraint. The current forecast for UAT exit is 20 November 2026 and forecast production release is 8 January 2027, compared with a baseline release date of 18 December 2026. These are planning forecasts, not commitments; the project team must update them using approved schedule controls.</w:t>
      </w:r>
    </w:p>
    <w:p>
      <w:pPr>
        <w:pStyle w:val="Heading1"/>
      </w:pPr>
      <w:r>
        <w:t>8. Budget and Financial Controls</w:t>
      </w:r>
    </w:p>
    <w:p>
      <w:r>
        <w:t>Approved budget: EUR 1,250,000. Actual cost reported at 23 October 2026: EUR 812,500. Current forecast cost: EUR 1,210,000. The Project Manager will refresh the estimate at completion monthly and explain material variances. Any forecast above the approved budget requires a documented options analysis and sponsor decision before commitment.</w:t>
      </w:r>
    </w:p>
    <w:p>
      <w:pPr>
        <w:pStyle w:val="Heading1"/>
      </w:pPr>
      <w:r>
        <w:t>9. Assumptions and Constraints</w:t>
      </w:r>
    </w:p>
    <w:p>
      <w:pPr>
        <w:pStyle w:val="ListBullet"/>
      </w:pPr>
      <w:r>
        <w:t>Required identity and customer APIs will be available in agreed test environments.</w:t>
      </w:r>
    </w:p>
    <w:p>
      <w:pPr>
        <w:pStyle w:val="ListBullet"/>
      </w:pPr>
      <w:r>
        <w:t>Business representatives will be available for requirements clarification and UAT.</w:t>
      </w:r>
    </w:p>
    <w:p>
      <w:pPr>
        <w:pStyle w:val="ListBullet"/>
      </w:pPr>
      <w:r>
        <w:t>Customer data access will follow least-privilege, privacy, retention, and audit requirements.</w:t>
      </w:r>
    </w:p>
    <w:p>
      <w:pPr>
        <w:pStyle w:val="ListBullet"/>
      </w:pPr>
      <w:r>
        <w:t>The delivery team will use approved enterprise tools and change-control processes.</w:t>
      </w:r>
    </w:p>
    <w:p>
      <w:pPr>
        <w:pStyle w:val="Heading1"/>
      </w:pPr>
      <w:r>
        <w:t>10. High-Level Risks and Responses</w:t>
      </w:r>
    </w:p>
    <w:p>
      <w:pPr>
        <w:pStyle w:val="ListBullet"/>
      </w:pPr>
      <w:r>
        <w:t>Identity integration defects may compress UAT: daily triage and specialist support decision by 30 October 2026.</w:t>
      </w:r>
    </w:p>
    <w:p>
      <w:pPr>
        <w:pStyle w:val="ListBullet"/>
      </w:pPr>
      <w:r>
        <w:t>Late changes may expand scope: apply formal change control and assess cost/schedule/quality impacts.</w:t>
      </w:r>
    </w:p>
    <w:p>
      <w:pPr>
        <w:pStyle w:val="ListBullet"/>
      </w:pPr>
      <w:r>
        <w:t>Security or privacy findings may block release: complete control validation before go-live approval.</w:t>
      </w:r>
    </w:p>
    <w:p>
      <w:pPr>
        <w:pStyle w:val="Heading1"/>
      </w:pPr>
      <w:r>
        <w:t>11. Acceptance and Approval</w:t>
      </w:r>
    </w:p>
    <w:p>
      <w:r>
        <w:t>The charter is a fictional training artifact. In a live project, approval would be recorded by the Executive Sponsor and relevant control owners before the project proceeds beyond the authorised stage.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Approver role</w:t>
            </w:r>
          </w:p>
        </w:tc>
        <w:tc>
          <w:tcPr>
            <w:tcW w:type="dxa" w:w="3312"/>
          </w:tcPr>
          <w:p>
            <w:r>
              <w:t>Name / signature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</w:tr>
      <w:tr>
        <w:tc>
          <w:tcPr>
            <w:tcW w:type="dxa" w:w="3312"/>
          </w:tcPr>
          <w:p>
            <w:r>
              <w:t>Executive Sponsor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</w:tr>
      <w:tr>
        <w:tc>
          <w:tcPr>
            <w:tcW w:type="dxa" w:w="3312"/>
          </w:tcPr>
          <w:p>
            <w:r>
              <w:t>Project Manager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</w:tr>
      <w:tr>
        <w:tc>
          <w:tcPr>
            <w:tcW w:type="dxa" w:w="3312"/>
          </w:tcPr>
          <w:p>
            <w:r>
              <w:t>Business Owner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