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WEEKLY PROJECT STATUS REPORT</w:t>
      </w:r>
    </w:p>
    <w:p>
      <w:pPr>
        <w:jc w:val="center"/>
      </w:pPr>
      <w:r>
        <w:rPr>
          <w:i/>
        </w:rPr>
        <w:t>Customer Digital Portal | PRJ-101 | Fictional case study</w:t>
      </w:r>
    </w:p>
    <w:p>
      <w:pPr>
        <w:jc w:val="center"/>
      </w:pPr>
      <w:r>
        <w:t>Reporting date: 23 October 2026 | Report owner: Maya Patel, Project Manager</w:t>
      </w:r>
    </w:p>
    <w:p>
      <w:pPr>
        <w:pStyle w:val="Heading1"/>
      </w:pPr>
      <w:r>
        <w:t>1. Executive Summary</w:t>
      </w:r>
    </w:p>
    <w:p>
      <w:r>
        <w:t>Overall status is AMBER. Delivery remains achievable, but identity-provider integration defects are compressing the available User Acceptance Testing (UAT) window. The forecast production release is 8 January 2027, compared with the baseline date of 18 December 2026. Budget remains GREEN based on the current forecast, with EUR 1,210,000 forecast against an approved EUR 1,250,000.</w:t>
      </w:r>
    </w:p>
    <w:p>
      <w:pPr>
        <w:pStyle w:val="Heading1"/>
      </w:pPr>
      <w:r>
        <w:t>2. RAG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Comment</w:t>
            </w:r>
          </w:p>
        </w:tc>
      </w:tr>
      <w:tr>
        <w:tc>
          <w:tcPr>
            <w:tcW w:type="dxa" w:w="3360"/>
          </w:tcPr>
          <w:p>
            <w:r>
              <w:t>Overall</w:t>
            </w:r>
          </w:p>
        </w:tc>
        <w:tc>
          <w:tcPr>
            <w:tcW w:type="dxa" w:w="3360"/>
          </w:tcPr>
          <w:p>
            <w:r>
              <w:t>AMBER</w:t>
            </w:r>
          </w:p>
        </w:tc>
        <w:tc>
          <w:tcPr>
            <w:tcW w:type="dxa" w:w="3360"/>
          </w:tcPr>
          <w:p>
            <w:r>
              <w:t>Recovery action required to protect UAT</w:t>
            </w:r>
          </w:p>
        </w:tc>
      </w:tr>
      <w:tr>
        <w:tc>
          <w:tcPr>
            <w:tcW w:type="dxa" w:w="3360"/>
          </w:tcPr>
          <w:p>
            <w:r>
              <w:t>Schedule</w:t>
            </w:r>
          </w:p>
        </w:tc>
        <w:tc>
          <w:tcPr>
            <w:tcW w:type="dxa" w:w="3360"/>
          </w:tcPr>
          <w:p>
            <w:r>
              <w:t>AMBER</w:t>
            </w:r>
          </w:p>
        </w:tc>
        <w:tc>
          <w:tcPr>
            <w:tcW w:type="dxa" w:w="3360"/>
          </w:tcPr>
          <w:p>
            <w:r>
              <w:t>Forecast release is 3 weeks later than baseline</w:t>
            </w:r>
          </w:p>
        </w:tc>
      </w:tr>
      <w:tr>
        <w:tc>
          <w:tcPr>
            <w:tcW w:type="dxa" w:w="3360"/>
          </w:tcPr>
          <w:p>
            <w:r>
              <w:t>Budget</w:t>
            </w:r>
          </w:p>
        </w:tc>
        <w:tc>
          <w:tcPr>
            <w:tcW w:type="dxa" w:w="3360"/>
          </w:tcPr>
          <w:p>
            <w:r>
              <w:t>GREEN</w:t>
            </w:r>
          </w:p>
        </w:tc>
        <w:tc>
          <w:tcPr>
            <w:tcW w:type="dxa" w:w="3360"/>
          </w:tcPr>
          <w:p>
            <w:r>
              <w:t>Forecast is EUR 40,000 below approved budget</w:t>
            </w:r>
          </w:p>
        </w:tc>
      </w:tr>
      <w:tr>
        <w:tc>
          <w:tcPr>
            <w:tcW w:type="dxa" w:w="3360"/>
          </w:tcPr>
          <w:p>
            <w:r>
              <w:t>Scope</w:t>
            </w:r>
          </w:p>
        </w:tc>
        <w:tc>
          <w:tcPr>
            <w:tcW w:type="dxa" w:w="3360"/>
          </w:tcPr>
          <w:p>
            <w:r>
              <w:t>GREEN</w:t>
            </w:r>
          </w:p>
        </w:tc>
        <w:tc>
          <w:tcPr>
            <w:tcW w:type="dxa" w:w="3360"/>
          </w:tcPr>
          <w:p>
            <w:r>
              <w:t>No approved scope change reported</w:t>
            </w:r>
          </w:p>
        </w:tc>
      </w:tr>
      <w:tr>
        <w:tc>
          <w:tcPr>
            <w:tcW w:type="dxa" w:w="3360"/>
          </w:tcPr>
          <w:p>
            <w:r>
              <w:t>Risk</w:t>
            </w:r>
          </w:p>
        </w:tc>
        <w:tc>
          <w:tcPr>
            <w:tcW w:type="dxa" w:w="3360"/>
          </w:tcPr>
          <w:p>
            <w:r>
              <w:t>AMBER</w:t>
            </w:r>
          </w:p>
        </w:tc>
        <w:tc>
          <w:tcPr>
            <w:tcW w:type="dxa" w:w="3360"/>
          </w:tcPr>
          <w:p>
            <w:r>
              <w:t>Identity integration defects remain the top risk</w:t>
            </w:r>
          </w:p>
        </w:tc>
      </w:tr>
    </w:tbl>
    <w:p>
      <w:pPr>
        <w:pStyle w:val="Heading1"/>
      </w:pPr>
      <w:r>
        <w:t>3. Progress and Financials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Metric</w:t>
            </w:r>
          </w:p>
        </w:tc>
        <w:tc>
          <w:tcPr>
            <w:tcW w:type="dxa" w:w="3360"/>
          </w:tcPr>
          <w:p>
            <w:r>
              <w:t>Value</w:t>
            </w:r>
          </w:p>
        </w:tc>
        <w:tc>
          <w:tcPr>
            <w:tcW w:type="dxa" w:w="3360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Planned progress</w:t>
            </w:r>
          </w:p>
        </w:tc>
        <w:tc>
          <w:tcPr>
            <w:tcW w:type="dxa" w:w="3360"/>
          </w:tcPr>
          <w:p>
            <w:r>
              <w:t>72%</w:t>
            </w:r>
          </w:p>
        </w:tc>
        <w:tc>
          <w:tcPr>
            <w:tcW w:type="dxa" w:w="3360"/>
          </w:tcPr>
          <w:p>
            <w:r>
              <w:t>Baseline expectation as of report date</w:t>
            </w:r>
          </w:p>
        </w:tc>
      </w:tr>
      <w:tr>
        <w:tc>
          <w:tcPr>
            <w:tcW w:type="dxa" w:w="3360"/>
          </w:tcPr>
          <w:p>
            <w:r>
              <w:t>Actual progress</w:t>
            </w:r>
          </w:p>
        </w:tc>
        <w:tc>
          <w:tcPr>
            <w:tcW w:type="dxa" w:w="3360"/>
          </w:tcPr>
          <w:p>
            <w:r>
              <w:t>64%</w:t>
            </w:r>
          </w:p>
        </w:tc>
        <w:tc>
          <w:tcPr>
            <w:tcW w:type="dxa" w:w="3360"/>
          </w:tcPr>
          <w:p>
            <w:r>
              <w:t>8 percentage points behind plan</w:t>
            </w:r>
          </w:p>
        </w:tc>
      </w:tr>
      <w:tr>
        <w:tc>
          <w:tcPr>
            <w:tcW w:type="dxa" w:w="3360"/>
          </w:tcPr>
          <w:p>
            <w:r>
              <w:t>Approved budget</w:t>
            </w:r>
          </w:p>
        </w:tc>
        <w:tc>
          <w:tcPr>
            <w:tcW w:type="dxa" w:w="3360"/>
          </w:tcPr>
          <w:p>
            <w:r>
              <w:t>EUR 1,250,000</w:t>
            </w:r>
          </w:p>
        </w:tc>
        <w:tc>
          <w:tcPr>
            <w:tcW w:type="dxa" w:w="3360"/>
          </w:tcPr>
          <w:p>
            <w:r>
              <w:t>Current approved baseline</w:t>
            </w:r>
          </w:p>
        </w:tc>
      </w:tr>
      <w:tr>
        <w:tc>
          <w:tcPr>
            <w:tcW w:type="dxa" w:w="3360"/>
          </w:tcPr>
          <w:p>
            <w:r>
              <w:t>Actual cost</w:t>
            </w:r>
          </w:p>
        </w:tc>
        <w:tc>
          <w:tcPr>
            <w:tcW w:type="dxa" w:w="3360"/>
          </w:tcPr>
          <w:p>
            <w:r>
              <w:t>EUR 812,500</w:t>
            </w:r>
          </w:p>
        </w:tc>
        <w:tc>
          <w:tcPr>
            <w:tcW w:type="dxa" w:w="3360"/>
          </w:tcPr>
          <w:p>
            <w:r>
              <w:t>Cost recorded to reporting date</w:t>
            </w:r>
          </w:p>
        </w:tc>
      </w:tr>
      <w:tr>
        <w:tc>
          <w:tcPr>
            <w:tcW w:type="dxa" w:w="3360"/>
          </w:tcPr>
          <w:p>
            <w:r>
              <w:t>Forecast cost</w:t>
            </w:r>
          </w:p>
        </w:tc>
        <w:tc>
          <w:tcPr>
            <w:tcW w:type="dxa" w:w="3360"/>
          </w:tcPr>
          <w:p>
            <w:r>
              <w:t>EUR 1,210,000</w:t>
            </w:r>
          </w:p>
        </w:tc>
        <w:tc>
          <w:tcPr>
            <w:tcW w:type="dxa" w:w="3360"/>
          </w:tcPr>
          <w:p>
            <w:r>
              <w:t>EUR 40,000 headroom to budget</w:t>
            </w:r>
          </w:p>
        </w:tc>
      </w:tr>
    </w:tbl>
    <w:p>
      <w:pPr>
        <w:pStyle w:val="Heading1"/>
      </w:pPr>
      <w:r>
        <w:t>4. Key Milestones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Milestone</w:t>
            </w:r>
          </w:p>
        </w:tc>
        <w:tc>
          <w:tcPr>
            <w:tcW w:type="dxa" w:w="2520"/>
          </w:tcPr>
          <w:p>
            <w:r>
              <w:t>Baseline</w:t>
            </w:r>
          </w:p>
        </w:tc>
        <w:tc>
          <w:tcPr>
            <w:tcW w:type="dxa" w:w="2520"/>
          </w:tcPr>
          <w:p>
            <w:r>
              <w:t>Current forecast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Identity integration complete</w:t>
            </w:r>
          </w:p>
        </w:tc>
        <w:tc>
          <w:tcPr>
            <w:tcW w:type="dxa" w:w="2520"/>
          </w:tcPr>
          <w:p>
            <w:r>
              <w:t>16 Oct 2026</w:t>
            </w:r>
          </w:p>
        </w:tc>
        <w:tc>
          <w:tcPr>
            <w:tcW w:type="dxa" w:w="2520"/>
          </w:tcPr>
          <w:p>
            <w:r>
              <w:t>30 Oct 2026</w:t>
            </w:r>
          </w:p>
        </w:tc>
        <w:tc>
          <w:tcPr>
            <w:tcW w:type="dxa" w:w="2520"/>
          </w:tcPr>
          <w:p>
            <w:r>
              <w:t>AMBER</w:t>
            </w:r>
          </w:p>
        </w:tc>
      </w:tr>
      <w:tr>
        <w:tc>
          <w:tcPr>
            <w:tcW w:type="dxa" w:w="2520"/>
          </w:tcPr>
          <w:p>
            <w:r>
              <w:t>UAT exit</w:t>
            </w:r>
          </w:p>
        </w:tc>
        <w:tc>
          <w:tcPr>
            <w:tcW w:type="dxa" w:w="2520"/>
          </w:tcPr>
          <w:p>
            <w:r>
              <w:t>13 Nov 2026</w:t>
            </w:r>
          </w:p>
        </w:tc>
        <w:tc>
          <w:tcPr>
            <w:tcW w:type="dxa" w:w="2520"/>
          </w:tcPr>
          <w:p>
            <w:r>
              <w:t>20 Nov 2026</w:t>
            </w:r>
          </w:p>
        </w:tc>
        <w:tc>
          <w:tcPr>
            <w:tcW w:type="dxa" w:w="2520"/>
          </w:tcPr>
          <w:p>
            <w:r>
              <w:t>AMBER</w:t>
            </w:r>
          </w:p>
        </w:tc>
      </w:tr>
      <w:tr>
        <w:tc>
          <w:tcPr>
            <w:tcW w:type="dxa" w:w="2520"/>
          </w:tcPr>
          <w:p>
            <w:r>
              <w:t>Production release</w:t>
            </w:r>
          </w:p>
        </w:tc>
        <w:tc>
          <w:tcPr>
            <w:tcW w:type="dxa" w:w="2520"/>
          </w:tcPr>
          <w:p>
            <w:r>
              <w:t>18 Dec 2026</w:t>
            </w:r>
          </w:p>
        </w:tc>
        <w:tc>
          <w:tcPr>
            <w:tcW w:type="dxa" w:w="2520"/>
          </w:tcPr>
          <w:p>
            <w:r>
              <w:t>8 Jan 2027</w:t>
            </w:r>
          </w:p>
        </w:tc>
        <w:tc>
          <w:tcPr>
            <w:tcW w:type="dxa" w:w="2520"/>
          </w:tcPr>
          <w:p>
            <w:r>
              <w:t>AMBER</w:t>
            </w:r>
          </w:p>
        </w:tc>
      </w:tr>
    </w:tbl>
    <w:p>
      <w:pPr>
        <w:pStyle w:val="Heading1"/>
      </w:pPr>
      <w:r>
        <w:t>5. Top Risks, Issues and 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Item</w:t>
            </w:r>
          </w:p>
        </w:tc>
        <w:tc>
          <w:tcPr>
            <w:tcW w:type="dxa" w:w="2520"/>
          </w:tcPr>
          <w:p>
            <w:r>
              <w:t>Impact</w:t>
            </w:r>
          </w:p>
        </w:tc>
        <w:tc>
          <w:tcPr>
            <w:tcW w:type="dxa" w:w="2520"/>
          </w:tcPr>
          <w:p>
            <w:r>
              <w:t>Owner</w:t>
            </w:r>
          </w:p>
        </w:tc>
        <w:tc>
          <w:tcPr>
            <w:tcW w:type="dxa" w:w="2520"/>
          </w:tcPr>
          <w:p>
            <w:r>
              <w:t>Action / due date</w:t>
            </w:r>
          </w:p>
        </w:tc>
      </w:tr>
      <w:tr>
        <w:tc>
          <w:tcPr>
            <w:tcW w:type="dxa" w:w="2520"/>
          </w:tcPr>
          <w:p>
            <w:r>
              <w:t>Identity-provider integration defects</w:t>
            </w:r>
          </w:p>
        </w:tc>
        <w:tc>
          <w:tcPr>
            <w:tcW w:type="dxa" w:w="2520"/>
          </w:tcPr>
          <w:p>
            <w:r>
              <w:t>May reduce UAT duration and delay release</w:t>
            </w:r>
          </w:p>
        </w:tc>
        <w:tc>
          <w:tcPr>
            <w:tcW w:type="dxa" w:w="2520"/>
          </w:tcPr>
          <w:p>
            <w:r>
              <w:t>Platform Lead</w:t>
            </w:r>
          </w:p>
        </w:tc>
        <w:tc>
          <w:tcPr>
            <w:tcW w:type="dxa" w:w="2520"/>
          </w:tcPr>
          <w:p>
            <w:r>
              <w:t>Daily defect triage; review trend by 30 Oct</w:t>
            </w:r>
          </w:p>
        </w:tc>
      </w:tr>
      <w:tr>
        <w:tc>
          <w:tcPr>
            <w:tcW w:type="dxa" w:w="2520"/>
          </w:tcPr>
          <w:p>
            <w:r>
              <w:t>Regression test window pressure</w:t>
            </w:r>
          </w:p>
        </w:tc>
        <w:tc>
          <w:tcPr>
            <w:tcW w:type="dxa" w:w="2520"/>
          </w:tcPr>
          <w:p>
            <w:r>
              <w:t>Potential quality risk</w:t>
            </w:r>
          </w:p>
        </w:tc>
        <w:tc>
          <w:tcPr>
            <w:tcW w:type="dxa" w:w="2520"/>
          </w:tcPr>
          <w:p>
            <w:r>
              <w:t>QA Lead</w:t>
            </w:r>
          </w:p>
        </w:tc>
        <w:tc>
          <w:tcPr>
            <w:tcW w:type="dxa" w:w="2520"/>
          </w:tcPr>
          <w:p>
            <w:r>
              <w:t>Prioritise critical journeys; confirm test window by 6 Nov</w:t>
            </w:r>
          </w:p>
        </w:tc>
      </w:tr>
      <w:tr>
        <w:tc>
          <w:tcPr>
            <w:tcW w:type="dxa" w:w="2520"/>
          </w:tcPr>
          <w:p>
            <w:r>
              <w:t>Late specialist support decision</w:t>
            </w:r>
          </w:p>
        </w:tc>
        <w:tc>
          <w:tcPr>
            <w:tcW w:type="dxa" w:w="2520"/>
          </w:tcPr>
          <w:p>
            <w:r>
              <w:t>May prolong defect resolution</w:t>
            </w:r>
          </w:p>
        </w:tc>
        <w:tc>
          <w:tcPr>
            <w:tcW w:type="dxa" w:w="2520"/>
          </w:tcPr>
          <w:p>
            <w:r>
              <w:t>Project Manager / Sponsor</w:t>
            </w:r>
          </w:p>
        </w:tc>
        <w:tc>
          <w:tcPr>
            <w:tcW w:type="dxa" w:w="2520"/>
          </w:tcPr>
          <w:p>
            <w:r>
              <w:t>Decide on two-week support if trend does not improve by 30 Oct</w:t>
            </w:r>
          </w:p>
        </w:tc>
      </w:tr>
    </w:tbl>
    <w:p>
      <w:pPr>
        <w:pStyle w:val="Heading1"/>
      </w:pPr>
      <w:r>
        <w:t>6. Decisions Required</w:t>
      </w:r>
    </w:p>
    <w:p>
      <w:r>
        <w:t>Decision: approve two weeks of specialist identity-integration support if the critical-defect trend has not improved by 30 October 2026. Decision owner: Executive Sponsor. Decision needed by: 30 October 2026.</w:t>
      </w:r>
    </w:p>
    <w:p>
      <w:pPr>
        <w:pStyle w:val="Heading1"/>
      </w:pPr>
      <w:r>
        <w:t>7. Next Reporting Period</w:t>
      </w:r>
    </w:p>
    <w:p>
      <w:pPr>
        <w:pStyle w:val="ListBullet"/>
      </w:pPr>
      <w:r>
        <w:t>Reduce open critical identity-integration defects and publish daily trend.</w:t>
      </w:r>
    </w:p>
    <w:p>
      <w:pPr>
        <w:pStyle w:val="ListBullet"/>
      </w:pPr>
      <w:r>
        <w:t>Confirm UAT entry criteria, test data, and business tester availability.</w:t>
      </w:r>
    </w:p>
    <w:p>
      <w:pPr>
        <w:pStyle w:val="ListBullet"/>
      </w:pPr>
      <w:r>
        <w:t>Refresh release forecast after the 30 October defect review.</w:t>
      </w:r>
    </w:p>
    <w:p>
      <w:pPr>
        <w:pStyle w:val="ListBullet"/>
      </w:pPr>
      <w:r>
        <w:t>Keep scope changes under formal change control.</w:t>
      </w:r>
    </w:p>
    <w:p>
      <w:pPr>
        <w:pStyle w:val="Heading1"/>
      </w:pPr>
      <w:r>
        <w:t>8. Governance Note</w:t>
      </w:r>
    </w:p>
    <w:p>
      <w:r>
        <w:t>This report is a synthetic training artifact. Statuses and figures are illustrative and should not be treated as information about a real organisation or client.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