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Architecture Review Board (EARB)</w:t>
      </w:r>
    </w:p>
    <w:p>
      <w:pPr>
        <w:pStyle w:val="Heading2"/>
      </w:pPr>
      <w:r>
        <w:t>Architecture Decision Record (ADR)</w:t>
      </w:r>
    </w:p>
    <w:p>
      <w:pPr>
        <w:pStyle w:val="Heading2"/>
      </w:pPr>
      <w:r>
        <w:t>ADR-001 – Selection of Google Cloud Run as the Application Hosting Platform</w:t>
      </w:r>
    </w:p>
    <w:p>
      <w:pPr>
        <w:pStyle w:val="Heading2"/>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ADR ID</w:t>
            </w:r>
          </w:p>
        </w:tc>
        <w:tc>
          <w:tcPr>
            <w:tcW w:type="dxa" w:w="4320"/>
          </w:tcPr>
          <w:p>
            <w:r>
              <w:t>ADR-001</w:t>
            </w:r>
          </w:p>
        </w:tc>
      </w:tr>
      <w:tr>
        <w:tc>
          <w:tcPr>
            <w:tcW w:type="dxa" w:w="4320"/>
          </w:tcPr>
          <w:p>
            <w:r>
              <w:t>Version</w:t>
            </w:r>
          </w:p>
        </w:tc>
        <w:tc>
          <w:tcPr>
            <w:tcW w:type="dxa" w:w="4320"/>
          </w:tcPr>
          <w:p>
            <w:r>
              <w:t>1.0</w:t>
            </w:r>
          </w:p>
        </w:tc>
      </w:tr>
      <w:tr>
        <w:tc>
          <w:tcPr>
            <w:tcW w:type="dxa" w:w="4320"/>
          </w:tcPr>
          <w:p>
            <w:r>
              <w:t>Status</w:t>
            </w:r>
          </w:p>
        </w:tc>
        <w:tc>
          <w:tcPr>
            <w:tcW w:type="dxa" w:w="4320"/>
          </w:tcPr>
          <w:p>
            <w:r>
              <w:t>Approved</w:t>
            </w:r>
          </w:p>
        </w:tc>
      </w:tr>
      <w:tr>
        <w:tc>
          <w:tcPr>
            <w:tcW w:type="dxa" w:w="4320"/>
          </w:tcPr>
          <w:p>
            <w:r>
              <w:t>Classification</w:t>
            </w:r>
          </w:p>
        </w:tc>
        <w:tc>
          <w:tcPr>
            <w:tcW w:type="dxa" w:w="4320"/>
          </w:tcPr>
          <w:p>
            <w:r>
              <w:t>Internal</w:t>
            </w:r>
          </w:p>
        </w:tc>
      </w:tr>
      <w:tr>
        <w:tc>
          <w:tcPr>
            <w:tcW w:type="dxa" w:w="4320"/>
          </w:tcPr>
          <w:p>
            <w:r>
              <w:t>Architecture Domain</w:t>
            </w:r>
          </w:p>
        </w:tc>
        <w:tc>
          <w:tcPr>
            <w:tcW w:type="dxa" w:w="4320"/>
          </w:tcPr>
          <w:p>
            <w:r>
              <w:t>Application Platform</w:t>
            </w:r>
          </w:p>
        </w:tc>
      </w:tr>
      <w:tr>
        <w:tc>
          <w:tcPr>
            <w:tcW w:type="dxa" w:w="4320"/>
          </w:tcPr>
          <w:p>
            <w:r>
              <w:t>Owner</w:t>
            </w:r>
          </w:p>
        </w:tc>
        <w:tc>
          <w:tcPr>
            <w:tcW w:type="dxa" w:w="4320"/>
          </w:tcPr>
          <w:p>
            <w:r>
              <w:t>Enterprise Architecture</w:t>
            </w:r>
          </w:p>
        </w:tc>
      </w:tr>
      <w:tr>
        <w:tc>
          <w:tcPr>
            <w:tcW w:type="dxa" w:w="4320"/>
          </w:tcPr>
          <w:p>
            <w:r>
              <w:t>Approved By</w:t>
            </w:r>
          </w:p>
        </w:tc>
        <w:tc>
          <w:tcPr>
            <w:tcW w:type="dxa" w:w="4320"/>
          </w:tcPr>
          <w:p>
            <w:r>
              <w:t>Enterprise Architecture Review Board (EARB)</w:t>
            </w:r>
          </w:p>
        </w:tc>
      </w:tr>
      <w:tr>
        <w:tc>
          <w:tcPr>
            <w:tcW w:type="dxa" w:w="4320"/>
          </w:tcPr>
          <w:p>
            <w:r>
              <w:t>Approval Date</w:t>
            </w:r>
          </w:p>
        </w:tc>
        <w:tc>
          <w:tcPr>
            <w:tcW w:type="dxa" w:w="4320"/>
          </w:tcPr>
          <w:p>
            <w:r>
              <w:t>15-Jul-2026</w:t>
            </w:r>
          </w:p>
        </w:tc>
      </w:tr>
      <w:tr>
        <w:tc>
          <w:tcPr>
            <w:tcW w:type="dxa" w:w="4320"/>
          </w:tcPr>
          <w:p>
            <w:r>
              <w:t>Review Date</w:t>
            </w:r>
          </w:p>
        </w:tc>
        <w:tc>
          <w:tcPr>
            <w:tcW w:type="dxa" w:w="4320"/>
          </w:tcPr>
          <w:p>
            <w:r>
              <w:t>15-Jul-2027</w:t>
            </w:r>
          </w:p>
        </w:tc>
      </w:tr>
    </w:tbl>
    <w:p>
      <w:pPr>
        <w:pStyle w:val="Heading2"/>
      </w:pPr>
      <w:r>
        <w:t>1. Purpose</w:t>
      </w:r>
    </w:p>
    <w:p>
      <w:r>
        <w:t>This Architecture Decision Record (ADR) documents the enterprise architectural decision to adopt Google Cloud Run as the standard managed application hosting platform for stateless application workloads deployed on Google Cloud Platform (GCP).</w:t>
        <w:br/>
        <w:br/>
        <w:t>This ADR establishes the mandatory architectural, operational and governance requirements for deploying containerised applications using Cloud Run while ensuring consistency, security, operational excellence and compliance with enterprise cloud standards.</w:t>
      </w:r>
    </w:p>
    <w:p>
      <w:pPr>
        <w:pStyle w:val="Heading2"/>
      </w:pPr>
      <w:r>
        <w:t>2. Business Context</w:t>
      </w:r>
    </w:p>
    <w:p>
      <w:r>
        <w:t>The Digital Payments Platform consists of independently deployable microservices that process customer payment transactions and supporting business functions. The application hosting platform must support rapid deployment, elastic scaling, high availability and secure integration with enterprise services while minimising infrastructure management.</w:t>
        <w:br/>
        <w:br/>
        <w:t>The platform must support:</w:t>
        <w:br/>
        <w:t>• Automatic horizontal scaling</w:t>
        <w:br/>
        <w:t>• High availability</w:t>
        <w:br/>
        <w:t>• Secure container deployment</w:t>
        <w:br/>
        <w:t>• Centralised logging and monitoring</w:t>
        <w:br/>
        <w:t>• Private connectivity to backend services</w:t>
        <w:br/>
        <w:t>• CI/CD integration</w:t>
        <w:br/>
        <w:t>• Reduced operational overhead</w:t>
        <w:br/>
        <w:t>• Enterprise governance and audit requirements</w:t>
        <w:br/>
        <w:br/>
        <w:t>The selected hosting platform must align with the Enterprise Cloud Strategy and provide a standard runtime for modern cloud-native applications.</w:t>
      </w:r>
    </w:p>
    <w:p>
      <w:pPr>
        <w:pStyle w:val="Heading2"/>
      </w:pPr>
      <w:r>
        <w:t>3. Decision Drivers</w:t>
      </w:r>
    </w:p>
    <w:tbl>
      <w:tblPr>
        <w:tblStyle w:val="TableGrid"/>
        <w:tblW w:type="auto" w:w="0"/>
        <w:tblLook w:firstColumn="1" w:firstRow="1" w:lastColumn="0" w:lastRow="0" w:noHBand="0" w:noVBand="1" w:val="04A0"/>
      </w:tblPr>
      <w:tblGrid>
        <w:gridCol w:w="4320"/>
        <w:gridCol w:w="4320"/>
      </w:tblGrid>
      <w:tr>
        <w:tc>
          <w:tcPr>
            <w:tcW w:type="dxa" w:w="4320"/>
          </w:tcPr>
          <w:p>
            <w:r>
              <w:t>Driver</w:t>
            </w:r>
          </w:p>
        </w:tc>
        <w:tc>
          <w:tcPr>
            <w:tcW w:type="dxa" w:w="4320"/>
          </w:tcPr>
          <w:p>
            <w:r>
              <w:t>Description</w:t>
            </w:r>
          </w:p>
        </w:tc>
      </w:tr>
      <w:tr>
        <w:tc>
          <w:tcPr>
            <w:tcW w:type="dxa" w:w="4320"/>
          </w:tcPr>
          <w:p>
            <w:r>
              <w:t>Business Agility</w:t>
            </w:r>
          </w:p>
        </w:tc>
        <w:tc>
          <w:tcPr>
            <w:tcW w:type="dxa" w:w="4320"/>
          </w:tcPr>
          <w:p>
            <w:r>
              <w:t>Rapid deployment of application changes.</w:t>
            </w:r>
          </w:p>
        </w:tc>
      </w:tr>
      <w:tr>
        <w:tc>
          <w:tcPr>
            <w:tcW w:type="dxa" w:w="4320"/>
          </w:tcPr>
          <w:p>
            <w:r>
              <w:t>Operational Excellence</w:t>
            </w:r>
          </w:p>
        </w:tc>
        <w:tc>
          <w:tcPr>
            <w:tcW w:type="dxa" w:w="4320"/>
          </w:tcPr>
          <w:p>
            <w:r>
              <w:t>Reduce infrastructure administration.</w:t>
            </w:r>
          </w:p>
        </w:tc>
      </w:tr>
      <w:tr>
        <w:tc>
          <w:tcPr>
            <w:tcW w:type="dxa" w:w="4320"/>
          </w:tcPr>
          <w:p>
            <w:r>
              <w:t>Scalability</w:t>
            </w:r>
          </w:p>
        </w:tc>
        <w:tc>
          <w:tcPr>
            <w:tcW w:type="dxa" w:w="4320"/>
          </w:tcPr>
          <w:p>
            <w:r>
              <w:t>Automatically handle variable transaction volumes.</w:t>
            </w:r>
          </w:p>
        </w:tc>
      </w:tr>
      <w:tr>
        <w:tc>
          <w:tcPr>
            <w:tcW w:type="dxa" w:w="4320"/>
          </w:tcPr>
          <w:p>
            <w:r>
              <w:t>Security</w:t>
            </w:r>
          </w:p>
        </w:tc>
        <w:tc>
          <w:tcPr>
            <w:tcW w:type="dxa" w:w="4320"/>
          </w:tcPr>
          <w:p>
            <w:r>
              <w:t>Enterprise identity, network and logging integration.</w:t>
            </w:r>
          </w:p>
        </w:tc>
      </w:tr>
      <w:tr>
        <w:tc>
          <w:tcPr>
            <w:tcW w:type="dxa" w:w="4320"/>
          </w:tcPr>
          <w:p>
            <w:r>
              <w:t>Availability</w:t>
            </w:r>
          </w:p>
        </w:tc>
        <w:tc>
          <w:tcPr>
            <w:tcW w:type="dxa" w:w="4320"/>
          </w:tcPr>
          <w:p>
            <w:r>
              <w:t>Managed highly available application platform.</w:t>
            </w:r>
          </w:p>
        </w:tc>
      </w:tr>
      <w:tr>
        <w:tc>
          <w:tcPr>
            <w:tcW w:type="dxa" w:w="4320"/>
          </w:tcPr>
          <w:p>
            <w:r>
              <w:t>Governance</w:t>
            </w:r>
          </w:p>
        </w:tc>
        <w:tc>
          <w:tcPr>
            <w:tcW w:type="dxa" w:w="4320"/>
          </w:tcPr>
          <w:p>
            <w:r>
              <w:t>Standardise application hosting across GCP.</w:t>
            </w:r>
          </w:p>
        </w:tc>
      </w:tr>
      <w:tr>
        <w:tc>
          <w:tcPr>
            <w:tcW w:type="dxa" w:w="4320"/>
          </w:tcPr>
          <w:p>
            <w:r>
              <w:t>Auditability</w:t>
            </w:r>
          </w:p>
        </w:tc>
        <w:tc>
          <w:tcPr>
            <w:tcW w:type="dxa" w:w="4320"/>
          </w:tcPr>
          <w:p>
            <w:r>
              <w:t>Consistent operational evidence for governance and audit.</w:t>
            </w:r>
          </w:p>
        </w:tc>
      </w:tr>
    </w:tbl>
    <w:p>
      <w:pPr>
        <w:pStyle w:val="Heading2"/>
      </w:pPr>
      <w:r>
        <w:t>4. Architecture Decision Summary</w:t>
      </w:r>
    </w:p>
    <w:tbl>
      <w:tblPr>
        <w:tblStyle w:val="TableGrid"/>
        <w:tblW w:type="auto" w:w="0"/>
        <w:tblLook w:firstColumn="1" w:firstRow="1" w:lastColumn="0" w:lastRow="0" w:noHBand="0" w:noVBand="1" w:val="04A0"/>
      </w:tblPr>
      <w:tblGrid>
        <w:gridCol w:w="4320"/>
        <w:gridCol w:w="4320"/>
      </w:tblGrid>
      <w:tr>
        <w:tc>
          <w:tcPr>
            <w:tcW w:type="dxa" w:w="4320"/>
          </w:tcPr>
          <w:p>
            <w:r>
              <w:t>Decision Area</w:t>
            </w:r>
          </w:p>
        </w:tc>
        <w:tc>
          <w:tcPr>
            <w:tcW w:type="dxa" w:w="4320"/>
          </w:tcPr>
          <w:p>
            <w:r>
              <w:t>Approved Decision</w:t>
            </w:r>
          </w:p>
        </w:tc>
      </w:tr>
      <w:tr>
        <w:tc>
          <w:tcPr>
            <w:tcW w:type="dxa" w:w="4320"/>
          </w:tcPr>
          <w:p>
            <w:r>
              <w:t>Application Platform</w:t>
            </w:r>
          </w:p>
        </w:tc>
        <w:tc>
          <w:tcPr>
            <w:tcW w:type="dxa" w:w="4320"/>
          </w:tcPr>
          <w:p>
            <w:r>
              <w:t>Google Cloud Run</w:t>
            </w:r>
          </w:p>
        </w:tc>
      </w:tr>
      <w:tr>
        <w:tc>
          <w:tcPr>
            <w:tcW w:type="dxa" w:w="4320"/>
          </w:tcPr>
          <w:p>
            <w:r>
              <w:t>Deployment Model</w:t>
            </w:r>
          </w:p>
        </w:tc>
        <w:tc>
          <w:tcPr>
            <w:tcW w:type="dxa" w:w="4320"/>
          </w:tcPr>
          <w:p>
            <w:r>
              <w:t>Fully Managed</w:t>
            </w:r>
          </w:p>
        </w:tc>
      </w:tr>
      <w:tr>
        <w:tc>
          <w:tcPr>
            <w:tcW w:type="dxa" w:w="4320"/>
          </w:tcPr>
          <w:p>
            <w:r>
              <w:t>Container Registry</w:t>
            </w:r>
          </w:p>
        </w:tc>
        <w:tc>
          <w:tcPr>
            <w:tcW w:type="dxa" w:w="4320"/>
          </w:tcPr>
          <w:p>
            <w:r>
              <w:t>Enterprise Artifact Registry</w:t>
            </w:r>
          </w:p>
        </w:tc>
      </w:tr>
      <w:tr>
        <w:tc>
          <w:tcPr>
            <w:tcW w:type="dxa" w:w="4320"/>
          </w:tcPr>
          <w:p>
            <w:r>
              <w:t>Networking</w:t>
            </w:r>
          </w:p>
        </w:tc>
        <w:tc>
          <w:tcPr>
            <w:tcW w:type="dxa" w:w="4320"/>
          </w:tcPr>
          <w:p>
            <w:r>
              <w:t>Private connectivity using Serverless VPC Access where required</w:t>
            </w:r>
          </w:p>
        </w:tc>
      </w:tr>
      <w:tr>
        <w:tc>
          <w:tcPr>
            <w:tcW w:type="dxa" w:w="4320"/>
          </w:tcPr>
          <w:p>
            <w:r>
              <w:t>Authentication</w:t>
            </w:r>
          </w:p>
        </w:tc>
        <w:tc>
          <w:tcPr>
            <w:tcW w:type="dxa" w:w="4320"/>
          </w:tcPr>
          <w:p>
            <w:r>
              <w:t>IAM-based administration</w:t>
            </w:r>
          </w:p>
        </w:tc>
      </w:tr>
      <w:tr>
        <w:tc>
          <w:tcPr>
            <w:tcW w:type="dxa" w:w="4320"/>
          </w:tcPr>
          <w:p>
            <w:r>
              <w:t>Ingress</w:t>
            </w:r>
          </w:p>
        </w:tc>
        <w:tc>
          <w:tcPr>
            <w:tcW w:type="dxa" w:w="4320"/>
          </w:tcPr>
          <w:p>
            <w:r>
              <w:t>Internal or controlled ingress in accordance with security policy</w:t>
            </w:r>
          </w:p>
        </w:tc>
      </w:tr>
      <w:tr>
        <w:tc>
          <w:tcPr>
            <w:tcW w:type="dxa" w:w="4320"/>
          </w:tcPr>
          <w:p>
            <w:r>
              <w:t>Logging</w:t>
            </w:r>
          </w:p>
        </w:tc>
        <w:tc>
          <w:tcPr>
            <w:tcW w:type="dxa" w:w="4320"/>
          </w:tcPr>
          <w:p>
            <w:r>
              <w:t>Cloud Logging enabled</w:t>
            </w:r>
          </w:p>
        </w:tc>
      </w:tr>
      <w:tr>
        <w:tc>
          <w:tcPr>
            <w:tcW w:type="dxa" w:w="4320"/>
          </w:tcPr>
          <w:p>
            <w:r>
              <w:t>Monitoring</w:t>
            </w:r>
          </w:p>
        </w:tc>
        <w:tc>
          <w:tcPr>
            <w:tcW w:type="dxa" w:w="4320"/>
          </w:tcPr>
          <w:p>
            <w:r>
              <w:t>Cloud Monitoring enabled</w:t>
            </w:r>
          </w:p>
        </w:tc>
      </w:tr>
      <w:tr>
        <w:tc>
          <w:tcPr>
            <w:tcW w:type="dxa" w:w="4320"/>
          </w:tcPr>
          <w:p>
            <w:r>
              <w:t>Scaling</w:t>
            </w:r>
          </w:p>
        </w:tc>
        <w:tc>
          <w:tcPr>
            <w:tcW w:type="dxa" w:w="4320"/>
          </w:tcPr>
          <w:p>
            <w:r>
              <w:t>Automatic scaling</w:t>
            </w:r>
          </w:p>
        </w:tc>
      </w:tr>
    </w:tbl>
    <w:p>
      <w:r>
        <w:t>This section represents the authoritative architectural decisions approved by the Enterprise Architecture Review Board.</w:t>
      </w:r>
    </w:p>
    <w:p>
      <w:pPr>
        <w:pStyle w:val="Heading2"/>
      </w:pPr>
      <w:r>
        <w:t>5. Architecture Decision</w:t>
      </w:r>
    </w:p>
    <w:p>
      <w:pPr>
        <w:pStyle w:val="Heading3"/>
      </w:pPr>
      <w:r>
        <w:t>5.1 Application Platform</w:t>
      </w:r>
    </w:p>
    <w:p>
      <w:r>
        <w:t>Google Cloud Run shall be used as the enterprise managed hosting platform for stateless containerised workloads.</w:t>
      </w:r>
    </w:p>
    <w:p>
      <w:pPr>
        <w:pStyle w:val="Heading3"/>
      </w:pPr>
      <w:r>
        <w:t>5.2 Container Images</w:t>
      </w:r>
    </w:p>
    <w:p>
      <w:r>
        <w:t>Container images shall be built through the approved CI/CD pipeline and stored only in the enterprise Artifact Registry.</w:t>
      </w:r>
    </w:p>
    <w:p>
      <w:pPr>
        <w:pStyle w:val="Heading3"/>
      </w:pPr>
      <w:r>
        <w:t>5.3 Networking</w:t>
      </w:r>
    </w:p>
    <w:p>
      <w:r>
        <w:t>Application services shall use private connectivity to backend services wherever supported. Public exposure shall be limited to approved entry points.</w:t>
      </w:r>
    </w:p>
    <w:p>
      <w:pPr>
        <w:pStyle w:val="Heading3"/>
      </w:pPr>
      <w:r>
        <w:t>5.4 Identity and Access</w:t>
      </w:r>
    </w:p>
    <w:p>
      <w:r>
        <w:t>Administrative access shall be controlled through Google Cloud IAM using least-privilege principles.</w:t>
      </w:r>
    </w:p>
    <w:p>
      <w:pPr>
        <w:pStyle w:val="Heading3"/>
      </w:pPr>
      <w:r>
        <w:t>5.5 Logging</w:t>
      </w:r>
    </w:p>
    <w:p>
      <w:r>
        <w:t>Cloud Logging shall be enabled for all production services. Application, request and audit logs shall be retained in accordance with the Enterprise Logging Standard.</w:t>
      </w:r>
    </w:p>
    <w:p>
      <w:pPr>
        <w:pStyle w:val="Heading3"/>
      </w:pPr>
      <w:r>
        <w:t>5.6 Monitoring</w:t>
      </w:r>
    </w:p>
    <w:p>
      <w:r>
        <w:t>Cloud Monitoring shall be configured to monitor service availability, request latency, error rates, CPU utilisation and memory utilisation. Critical alerts shall be configured before production deployment.</w:t>
      </w:r>
    </w:p>
    <w:p>
      <w:pPr>
        <w:pStyle w:val="Heading3"/>
      </w:pPr>
      <w:r>
        <w:t>5.7 Deployment</w:t>
      </w:r>
    </w:p>
    <w:p>
      <w:r>
        <w:t>Production deployments shall use approved CI/CD pipelines and follow enterprise change management processes.</w:t>
      </w:r>
    </w:p>
    <w:p>
      <w:pPr>
        <w:pStyle w:val="Heading2"/>
      </w:pPr>
      <w:r>
        <w:t>6. Decision Rationale</w:t>
      </w:r>
    </w:p>
    <w:p>
      <w:pPr>
        <w:pStyle w:val="ListBullet"/>
      </w:pPr>
      <w:r>
        <w:t>Provides a fully managed serverless application platform.</w:t>
      </w:r>
    </w:p>
    <w:p>
      <w:pPr>
        <w:pStyle w:val="ListBullet"/>
      </w:pPr>
      <w:r>
        <w:t>Eliminates infrastructure management and operating system patching.</w:t>
      </w:r>
    </w:p>
    <w:p>
      <w:pPr>
        <w:pStyle w:val="ListBullet"/>
      </w:pPr>
      <w:r>
        <w:t>Automatically scales to meet workload demand.</w:t>
      </w:r>
    </w:p>
    <w:p>
      <w:pPr>
        <w:pStyle w:val="ListBullet"/>
      </w:pPr>
      <w:r>
        <w:t>Integrates natively with IAM, Cloud Logging and Cloud Monitoring.</w:t>
      </w:r>
    </w:p>
    <w:p>
      <w:pPr>
        <w:pStyle w:val="ListBullet"/>
      </w:pPr>
      <w:r>
        <w:t>Supports enterprise DevSecOps practices.</w:t>
      </w:r>
    </w:p>
    <w:p>
      <w:pPr>
        <w:pStyle w:val="ListBullet"/>
      </w:pPr>
      <w:r>
        <w:t>Provides a consistent hosting platform for cloud-native applications.</w:t>
      </w:r>
    </w:p>
    <w:p>
      <w:pPr>
        <w:pStyle w:val="ListBullet"/>
      </w:pPr>
      <w:r>
        <w:t>Aligns with the organisation's cloud platform strategy.</w:t>
      </w:r>
    </w:p>
    <w:p>
      <w:pPr>
        <w:pStyle w:val="Heading2"/>
      </w:pPr>
      <w:r>
        <w:t>7. Alternatives Considered</w:t>
      </w:r>
    </w:p>
    <w:tbl>
      <w:tblPr>
        <w:tblStyle w:val="TableGrid"/>
        <w:tblW w:type="auto" w:w="0"/>
        <w:tblLook w:firstColumn="1" w:firstRow="1" w:lastColumn="0" w:lastRow="0" w:noHBand="0" w:noVBand="1" w:val="04A0"/>
      </w:tblPr>
      <w:tblGrid>
        <w:gridCol w:w="2880"/>
        <w:gridCol w:w="2880"/>
        <w:gridCol w:w="2880"/>
      </w:tblGrid>
      <w:tr>
        <w:tc>
          <w:tcPr>
            <w:tcW w:type="dxa" w:w="2880"/>
          </w:tcPr>
          <w:p>
            <w:r>
              <w:t>Alternative</w:t>
            </w:r>
          </w:p>
        </w:tc>
        <w:tc>
          <w:tcPr>
            <w:tcW w:type="dxa" w:w="2880"/>
          </w:tcPr>
          <w:p>
            <w:r>
              <w:t>Decision</w:t>
            </w:r>
          </w:p>
        </w:tc>
        <w:tc>
          <w:tcPr>
            <w:tcW w:type="dxa" w:w="2880"/>
          </w:tcPr>
          <w:p>
            <w:r>
              <w:t>Reason</w:t>
            </w:r>
          </w:p>
        </w:tc>
      </w:tr>
      <w:tr>
        <w:tc>
          <w:tcPr>
            <w:tcW w:type="dxa" w:w="2880"/>
          </w:tcPr>
          <w:p>
            <w:r>
              <w:t>Google Kubernetes Engine (GKE)</w:t>
            </w:r>
          </w:p>
        </w:tc>
        <w:tc>
          <w:tcPr>
            <w:tcW w:type="dxa" w:w="2880"/>
          </w:tcPr>
          <w:p>
            <w:r>
              <w:t>Rejected</w:t>
            </w:r>
          </w:p>
        </w:tc>
        <w:tc>
          <w:tcPr>
            <w:tcW w:type="dxa" w:w="2880"/>
          </w:tcPr>
          <w:p>
            <w:r>
              <w:t>Provides greater flexibility but introduces additional operational complexity for this workload.</w:t>
            </w:r>
          </w:p>
        </w:tc>
      </w:tr>
      <w:tr>
        <w:tc>
          <w:tcPr>
            <w:tcW w:type="dxa" w:w="2880"/>
          </w:tcPr>
          <w:p>
            <w:r>
              <w:t>Compute Engine</w:t>
            </w:r>
          </w:p>
        </w:tc>
        <w:tc>
          <w:tcPr>
            <w:tcW w:type="dxa" w:w="2880"/>
          </w:tcPr>
          <w:p>
            <w:r>
              <w:t>Rejected</w:t>
            </w:r>
          </w:p>
        </w:tc>
        <w:tc>
          <w:tcPr>
            <w:tcW w:type="dxa" w:w="2880"/>
          </w:tcPr>
          <w:p>
            <w:r>
              <w:t>Requires virtual machine administration and patch management.</w:t>
            </w:r>
          </w:p>
        </w:tc>
      </w:tr>
      <w:tr>
        <w:tc>
          <w:tcPr>
            <w:tcW w:type="dxa" w:w="2880"/>
          </w:tcPr>
          <w:p>
            <w:r>
              <w:t>App Engine</w:t>
            </w:r>
          </w:p>
        </w:tc>
        <w:tc>
          <w:tcPr>
            <w:tcW w:type="dxa" w:w="2880"/>
          </w:tcPr>
          <w:p>
            <w:r>
              <w:t>Deferred</w:t>
            </w:r>
          </w:p>
        </w:tc>
        <w:tc>
          <w:tcPr>
            <w:tcW w:type="dxa" w:w="2880"/>
          </w:tcPr>
          <w:p>
            <w:r>
              <w:t>Does not provide the required container deployment flexibility.</w:t>
            </w:r>
          </w:p>
        </w:tc>
      </w:tr>
    </w:tbl>
    <w:p>
      <w:pPr>
        <w:pStyle w:val="Heading2"/>
      </w:pPr>
      <w:r>
        <w:t>8. Consequences</w:t>
      </w:r>
    </w:p>
    <w:p>
      <w:pPr>
        <w:pStyle w:val="Heading3"/>
      </w:pPr>
      <w:r>
        <w:t>Benefits</w:t>
      </w:r>
    </w:p>
    <w:p>
      <w:pPr>
        <w:pStyle w:val="ListBullet"/>
      </w:pPr>
      <w:r>
        <w:t>Reduced operational complexity.</w:t>
      </w:r>
    </w:p>
    <w:p>
      <w:pPr>
        <w:pStyle w:val="ListBullet"/>
      </w:pPr>
      <w:r>
        <w:t>Rapid application deployment.</w:t>
      </w:r>
    </w:p>
    <w:p>
      <w:pPr>
        <w:pStyle w:val="ListBullet"/>
      </w:pPr>
      <w:r>
        <w:t>Consistent enterprise hosting platform.</w:t>
      </w:r>
    </w:p>
    <w:p>
      <w:pPr>
        <w:pStyle w:val="ListBullet"/>
      </w:pPr>
      <w:r>
        <w:t>Improved scalability and resilience.</w:t>
      </w:r>
    </w:p>
    <w:p>
      <w:pPr>
        <w:pStyle w:val="ListBullet"/>
      </w:pPr>
      <w:r>
        <w:t>Enhanced governance through standardisation.</w:t>
      </w:r>
    </w:p>
    <w:p>
      <w:pPr>
        <w:pStyle w:val="Heading3"/>
      </w:pPr>
      <w:r>
        <w:t>Risks</w:t>
      </w:r>
    </w:p>
    <w:p>
      <w:pPr>
        <w:pStyle w:val="ListBullet"/>
      </w:pPr>
      <w:r>
        <w:t>Architecture deviations may reduce operational consistency.</w:t>
      </w:r>
    </w:p>
    <w:p>
      <w:pPr>
        <w:pStyle w:val="ListBullet"/>
      </w:pPr>
      <w:r>
        <w:t>Improper ingress configuration may introduce security exposure.</w:t>
      </w:r>
    </w:p>
    <w:p>
      <w:pPr>
        <w:pStyle w:val="ListBullet"/>
      </w:pPr>
      <w:r>
        <w:t>Failure to enable monitoring may reduce operational visibility.</w:t>
      </w:r>
    </w:p>
    <w:p>
      <w:pPr>
        <w:pStyle w:val="ListBullet"/>
      </w:pPr>
      <w:r>
        <w:t>Non-standard deployment methods may weaken governance.</w:t>
      </w:r>
    </w:p>
    <w:p>
      <w:pPr>
        <w:pStyle w:val="Heading2"/>
      </w:pPr>
      <w:r>
        <w:t>9. Governance Requirements</w:t>
      </w:r>
    </w:p>
    <w:p>
      <w:pPr>
        <w:pStyle w:val="ListBullet"/>
      </w:pPr>
      <w:r>
        <w:t>The ADR shall be approved before production deployment.</w:t>
      </w:r>
    </w:p>
    <w:p>
      <w:pPr>
        <w:pStyle w:val="ListBullet"/>
      </w:pPr>
      <w:r>
        <w:t>Any deviation from this ADR requires Enterprise Architecture Review Board approval.</w:t>
      </w:r>
    </w:p>
    <w:p>
      <w:pPr>
        <w:pStyle w:val="ListBullet"/>
      </w:pPr>
      <w:r>
        <w:t>Approved exceptions shall be recorded in the Enterprise Exception Register.</w:t>
      </w:r>
    </w:p>
    <w:p>
      <w:pPr>
        <w:pStyle w:val="ListBullet"/>
      </w:pPr>
      <w:r>
        <w:t>Material changes to the hosting architecture shall trigger an ADR review.</w:t>
      </w:r>
    </w:p>
    <w:p>
      <w:pPr>
        <w:pStyle w:val="ListBullet"/>
      </w:pPr>
      <w:r>
        <w:t>This ADR shall be reviewed annually or following significant platform changes.</w:t>
      </w:r>
    </w:p>
    <w:p>
      <w:pPr>
        <w:pStyle w:val="Heading2"/>
      </w:pPr>
      <w:r>
        <w:t>10. Related Enterprise Standards</w:t>
      </w:r>
    </w:p>
    <w:tbl>
      <w:tblPr>
        <w:tblStyle w:val="TableGrid"/>
        <w:tblW w:type="auto" w:w="0"/>
        <w:tblLook w:firstColumn="1" w:firstRow="1" w:lastColumn="0" w:lastRow="0" w:noHBand="0" w:noVBand="1" w:val="04A0"/>
      </w:tblPr>
      <w:tblGrid>
        <w:gridCol w:w="4320"/>
        <w:gridCol w:w="4320"/>
      </w:tblGrid>
      <w:tr>
        <w:tc>
          <w:tcPr>
            <w:tcW w:type="dxa" w:w="4320"/>
          </w:tcPr>
          <w:p>
            <w:r>
              <w:t>Standard</w:t>
            </w:r>
          </w:p>
        </w:tc>
        <w:tc>
          <w:tcPr>
            <w:tcW w:type="dxa" w:w="4320"/>
          </w:tcPr>
          <w:p>
            <w:r>
              <w:t>Description</w:t>
            </w:r>
          </w:p>
        </w:tc>
      </w:tr>
      <w:tr>
        <w:tc>
          <w:tcPr>
            <w:tcW w:type="dxa" w:w="4320"/>
          </w:tcPr>
          <w:p>
            <w:r>
              <w:t>STD-001</w:t>
            </w:r>
          </w:p>
        </w:tc>
        <w:tc>
          <w:tcPr>
            <w:tcW w:type="dxa" w:w="4320"/>
          </w:tcPr>
          <w:p>
            <w:r>
              <w:t>Enterprise Architecture Documentation Standard</w:t>
            </w:r>
          </w:p>
        </w:tc>
      </w:tr>
      <w:tr>
        <w:tc>
          <w:tcPr>
            <w:tcW w:type="dxa" w:w="4320"/>
          </w:tcPr>
          <w:p>
            <w:r>
              <w:t>STD-004</w:t>
            </w:r>
          </w:p>
        </w:tc>
        <w:tc>
          <w:tcPr>
            <w:tcW w:type="dxa" w:w="4320"/>
          </w:tcPr>
          <w:p>
            <w:r>
              <w:t>Enterprise Logging Standard</w:t>
            </w:r>
          </w:p>
        </w:tc>
      </w:tr>
      <w:tr>
        <w:tc>
          <w:tcPr>
            <w:tcW w:type="dxa" w:w="4320"/>
          </w:tcPr>
          <w:p>
            <w:r>
              <w:t>STD-005</w:t>
            </w:r>
          </w:p>
        </w:tc>
        <w:tc>
          <w:tcPr>
            <w:tcW w:type="dxa" w:w="4320"/>
          </w:tcPr>
          <w:p>
            <w:r>
              <w:t>Enterprise Evidence Management Standard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