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Architecture Review Board (EARB)</w:t>
      </w:r>
    </w:p>
    <w:p>
      <w:pPr>
        <w:pStyle w:val="Heading2"/>
      </w:pPr>
      <w:r>
        <w:t>Architecture Decision Record (ADR)</w:t>
      </w:r>
    </w:p>
    <w:p>
      <w:pPr>
        <w:pStyle w:val="Heading2"/>
      </w:pPr>
      <w:r>
        <w:t>ADR-002 – Selection of Google Cloud Pub/Sub for Asynchronous Messaging</w:t>
      </w:r>
    </w:p>
    <w:p>
      <w:pPr>
        <w:pStyle w:val="Heading2"/>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Version</w:t>
            </w:r>
          </w:p>
        </w:tc>
        <w:tc>
          <w:tcPr>
            <w:tcW w:type="dxa" w:w="4320"/>
          </w:tcPr>
          <w:p>
            <w:r>
              <w:t>1.0</w:t>
            </w:r>
          </w:p>
        </w:tc>
      </w:tr>
      <w:tr>
        <w:tc>
          <w:tcPr>
            <w:tcW w:type="dxa" w:w="4320"/>
          </w:tcPr>
          <w:p>
            <w:r>
              <w:t>Status</w:t>
            </w:r>
          </w:p>
        </w:tc>
        <w:tc>
          <w:tcPr>
            <w:tcW w:type="dxa" w:w="4320"/>
          </w:tcPr>
          <w:p>
            <w:r>
              <w:t>Approved</w:t>
            </w:r>
          </w:p>
        </w:tc>
      </w:tr>
      <w:tr>
        <w:tc>
          <w:tcPr>
            <w:tcW w:type="dxa" w:w="4320"/>
          </w:tcPr>
          <w:p>
            <w:r>
              <w:t>Classification</w:t>
            </w:r>
          </w:p>
        </w:tc>
        <w:tc>
          <w:tcPr>
            <w:tcW w:type="dxa" w:w="4320"/>
          </w:tcPr>
          <w:p>
            <w:r>
              <w:t>Internal</w:t>
            </w:r>
          </w:p>
        </w:tc>
      </w:tr>
      <w:tr>
        <w:tc>
          <w:tcPr>
            <w:tcW w:type="dxa" w:w="4320"/>
          </w:tcPr>
          <w:p>
            <w:r>
              <w:t>Architecture Domain</w:t>
            </w:r>
          </w:p>
        </w:tc>
        <w:tc>
          <w:tcPr>
            <w:tcW w:type="dxa" w:w="4320"/>
          </w:tcPr>
          <w:p>
            <w:r>
              <w:t>Integration Platform</w:t>
            </w:r>
          </w:p>
        </w:tc>
      </w:tr>
      <w:tr>
        <w:tc>
          <w:tcPr>
            <w:tcW w:type="dxa" w:w="4320"/>
          </w:tcPr>
          <w:p>
            <w:r>
              <w:t>Owner</w:t>
            </w:r>
          </w:p>
        </w:tc>
        <w:tc>
          <w:tcPr>
            <w:tcW w:type="dxa" w:w="4320"/>
          </w:tcPr>
          <w:p>
            <w:r>
              <w:t>Enterprise Architecture</w:t>
            </w:r>
          </w:p>
        </w:tc>
      </w:tr>
      <w:tr>
        <w:tc>
          <w:tcPr>
            <w:tcW w:type="dxa" w:w="4320"/>
          </w:tcPr>
          <w:p>
            <w:r>
              <w:t>Approved By</w:t>
            </w:r>
          </w:p>
        </w:tc>
        <w:tc>
          <w:tcPr>
            <w:tcW w:type="dxa" w:w="4320"/>
          </w:tcPr>
          <w:p>
            <w:r>
              <w:t>Enterprise Architecture Review Board (EARB)</w:t>
            </w:r>
          </w:p>
        </w:tc>
      </w:tr>
      <w:tr>
        <w:tc>
          <w:tcPr>
            <w:tcW w:type="dxa" w:w="4320"/>
          </w:tcPr>
          <w:p>
            <w:r>
              <w:t>Approval Date</w:t>
            </w:r>
          </w:p>
        </w:tc>
        <w:tc>
          <w:tcPr>
            <w:tcW w:type="dxa" w:w="4320"/>
          </w:tcPr>
          <w:p>
            <w:r>
              <w:t>15-Jul-2026</w:t>
            </w:r>
          </w:p>
        </w:tc>
      </w:tr>
      <w:tr>
        <w:tc>
          <w:tcPr>
            <w:tcW w:type="dxa" w:w="4320"/>
          </w:tcPr>
          <w:p>
            <w:r>
              <w:t>Review Date</w:t>
            </w:r>
          </w:p>
        </w:tc>
        <w:tc>
          <w:tcPr>
            <w:tcW w:type="dxa" w:w="4320"/>
          </w:tcPr>
          <w:p>
            <w:r>
              <w:t>15-Jul-2027</w:t>
            </w:r>
          </w:p>
        </w:tc>
      </w:tr>
    </w:tbl>
    <w:p>
      <w:pPr>
        <w:pStyle w:val="Heading2"/>
      </w:pPr>
      <w:r>
        <w:t>1. Purpose</w:t>
      </w:r>
    </w:p>
    <w:p>
      <w:r>
        <w:t>Document the enterprise decision to adopt Google Cloud Pub/Sub as the strategic asynchronous messaging platform for event-driven banking applications.</w:t>
      </w:r>
    </w:p>
    <w:p>
      <w:pPr>
        <w:pStyle w:val="Heading2"/>
      </w:pPr>
      <w:r>
        <w:t>2. Business Context</w:t>
      </w:r>
    </w:p>
    <w:p>
      <w:r>
        <w:t>The Digital Payments Platform exchanges payment events, notifications and processing requests across multiple microservices. The messaging platform must provide reliable delivery, loose coupling, elastic scalability and managed operations while supporting enterprise governance, monitoring and audit requirements.</w:t>
      </w:r>
    </w:p>
    <w:p>
      <w:pPr>
        <w:pStyle w:val="Heading2"/>
      </w:pPr>
      <w:r>
        <w:t>3. Decision Drivers</w:t>
      </w:r>
    </w:p>
    <w:tbl>
      <w:tblPr>
        <w:tblStyle w:val="TableGrid"/>
        <w:tblW w:type="auto" w:w="0"/>
        <w:tblLook w:firstColumn="1" w:firstRow="1" w:lastColumn="0" w:lastRow="0" w:noHBand="0" w:noVBand="1" w:val="04A0"/>
      </w:tblPr>
      <w:tblGrid>
        <w:gridCol w:w="4320"/>
        <w:gridCol w:w="4320"/>
      </w:tblGrid>
      <w:tr>
        <w:tc>
          <w:tcPr>
            <w:tcW w:type="dxa" w:w="4320"/>
          </w:tcPr>
          <w:p>
            <w:r>
              <w:t>Driver</w:t>
            </w:r>
          </w:p>
        </w:tc>
        <w:tc>
          <w:tcPr>
            <w:tcW w:type="dxa" w:w="4320"/>
          </w:tcPr>
          <w:p>
            <w:r>
              <w:t>Description</w:t>
            </w:r>
          </w:p>
        </w:tc>
      </w:tr>
      <w:tr>
        <w:tc>
          <w:tcPr>
            <w:tcW w:type="dxa" w:w="4320"/>
          </w:tcPr>
          <w:p>
            <w:r>
              <w:t>Business Agility</w:t>
            </w:r>
          </w:p>
        </w:tc>
        <w:tc>
          <w:tcPr>
            <w:tcW w:type="dxa" w:w="4320"/>
          </w:tcPr>
          <w:p>
            <w:r>
              <w:t>Support rapid delivery of banking services.</w:t>
            </w:r>
          </w:p>
        </w:tc>
      </w:tr>
      <w:tr>
        <w:tc>
          <w:tcPr>
            <w:tcW w:type="dxa" w:w="4320"/>
          </w:tcPr>
          <w:p>
            <w:r>
              <w:t>Security</w:t>
            </w:r>
          </w:p>
        </w:tc>
        <w:tc>
          <w:tcPr>
            <w:tcW w:type="dxa" w:w="4320"/>
          </w:tcPr>
          <w:p>
            <w:r>
              <w:t>Protect customer and financial information.</w:t>
            </w:r>
          </w:p>
        </w:tc>
      </w:tr>
      <w:tr>
        <w:tc>
          <w:tcPr>
            <w:tcW w:type="dxa" w:w="4320"/>
          </w:tcPr>
          <w:p>
            <w:r>
              <w:t>Operational Excellence</w:t>
            </w:r>
          </w:p>
        </w:tc>
        <w:tc>
          <w:tcPr>
            <w:tcW w:type="dxa" w:w="4320"/>
          </w:tcPr>
          <w:p>
            <w:r>
              <w:t>Reduce operational complexity.</w:t>
            </w:r>
          </w:p>
        </w:tc>
      </w:tr>
      <w:tr>
        <w:tc>
          <w:tcPr>
            <w:tcW w:type="dxa" w:w="4320"/>
          </w:tcPr>
          <w:p>
            <w:r>
              <w:t>Availability</w:t>
            </w:r>
          </w:p>
        </w:tc>
        <w:tc>
          <w:tcPr>
            <w:tcW w:type="dxa" w:w="4320"/>
          </w:tcPr>
          <w:p>
            <w:r>
              <w:t>Support resilient production services.</w:t>
            </w:r>
          </w:p>
        </w:tc>
      </w:tr>
      <w:tr>
        <w:tc>
          <w:tcPr>
            <w:tcW w:type="dxa" w:w="4320"/>
          </w:tcPr>
          <w:p>
            <w:r>
              <w:t>Governance</w:t>
            </w:r>
          </w:p>
        </w:tc>
        <w:tc>
          <w:tcPr>
            <w:tcW w:type="dxa" w:w="4320"/>
          </w:tcPr>
          <w:p>
            <w:r>
              <w:t>Standardise enterprise architecture.</w:t>
            </w:r>
          </w:p>
        </w:tc>
      </w:tr>
      <w:tr>
        <w:tc>
          <w:tcPr>
            <w:tcW w:type="dxa" w:w="4320"/>
          </w:tcPr>
          <w:p>
            <w:r>
              <w:t>Auditability</w:t>
            </w:r>
          </w:p>
        </w:tc>
        <w:tc>
          <w:tcPr>
            <w:tcW w:type="dxa" w:w="4320"/>
          </w:tcPr>
          <w:p>
            <w:r>
              <w:t>Provide consistent operational evidence.</w:t>
            </w:r>
          </w:p>
        </w:tc>
      </w:tr>
      <w:tr>
        <w:tc>
          <w:tcPr>
            <w:tcW w:type="dxa" w:w="4320"/>
          </w:tcPr>
          <w:p>
            <w:r>
              <w:t>Compliance</w:t>
            </w:r>
          </w:p>
        </w:tc>
        <w:tc>
          <w:tcPr>
            <w:tcW w:type="dxa" w:w="4320"/>
          </w:tcPr>
          <w:p>
            <w:r>
              <w:t>Align with enterprise cloud standards.</w:t>
            </w:r>
          </w:p>
        </w:tc>
      </w:tr>
    </w:tbl>
    <w:p>
      <w:pPr>
        <w:pStyle w:val="Heading2"/>
      </w:pPr>
      <w:r>
        <w:t>4. Architecture Decision Summary</w:t>
      </w:r>
    </w:p>
    <w:tbl>
      <w:tblPr>
        <w:tblStyle w:val="TableGrid"/>
        <w:tblW w:type="auto" w:w="0"/>
        <w:tblLook w:firstColumn="1" w:firstRow="1" w:lastColumn="0" w:lastRow="0" w:noHBand="0" w:noVBand="1" w:val="04A0"/>
      </w:tblPr>
      <w:tblGrid>
        <w:gridCol w:w="4320"/>
        <w:gridCol w:w="4320"/>
      </w:tblGrid>
      <w:tr>
        <w:tc>
          <w:tcPr>
            <w:tcW w:type="dxa" w:w="4320"/>
          </w:tcPr>
          <w:p>
            <w:r>
              <w:t>Decision Area</w:t>
            </w:r>
          </w:p>
        </w:tc>
        <w:tc>
          <w:tcPr>
            <w:tcW w:type="dxa" w:w="4320"/>
          </w:tcPr>
          <w:p>
            <w:r>
              <w:t>Approved Decision</w:t>
            </w:r>
          </w:p>
        </w:tc>
      </w:tr>
      <w:tr>
        <w:tc>
          <w:tcPr>
            <w:tcW w:type="dxa" w:w="4320"/>
          </w:tcPr>
          <w:p>
            <w:r>
              <w:t>Messaging Platform</w:t>
            </w:r>
          </w:p>
        </w:tc>
        <w:tc>
          <w:tcPr>
            <w:tcW w:type="dxa" w:w="4320"/>
          </w:tcPr>
          <w:p>
            <w:r>
              <w:t>Google Cloud Pub/Sub</w:t>
            </w:r>
          </w:p>
        </w:tc>
      </w:tr>
      <w:tr>
        <w:tc>
          <w:tcPr>
            <w:tcW w:type="dxa" w:w="4320"/>
          </w:tcPr>
          <w:p>
            <w:r>
              <w:t>Delivery Model</w:t>
            </w:r>
          </w:p>
        </w:tc>
        <w:tc>
          <w:tcPr>
            <w:tcW w:type="dxa" w:w="4320"/>
          </w:tcPr>
          <w:p>
            <w:r>
              <w:t>At-least-once</w:t>
            </w:r>
          </w:p>
        </w:tc>
      </w:tr>
      <w:tr>
        <w:tc>
          <w:tcPr>
            <w:tcW w:type="dxa" w:w="4320"/>
          </w:tcPr>
          <w:p>
            <w:r>
              <w:t>Dead Letter Topics</w:t>
            </w:r>
          </w:p>
        </w:tc>
        <w:tc>
          <w:tcPr>
            <w:tcW w:type="dxa" w:w="4320"/>
          </w:tcPr>
          <w:p>
            <w:r>
              <w:t>Mandatory</w:t>
            </w:r>
          </w:p>
        </w:tc>
      </w:tr>
      <w:tr>
        <w:tc>
          <w:tcPr>
            <w:tcW w:type="dxa" w:w="4320"/>
          </w:tcPr>
          <w:p>
            <w:r>
              <w:t>Retry Policy</w:t>
            </w:r>
          </w:p>
        </w:tc>
        <w:tc>
          <w:tcPr>
            <w:tcW w:type="dxa" w:w="4320"/>
          </w:tcPr>
          <w:p>
            <w:r>
              <w:t>Mandatory</w:t>
            </w:r>
          </w:p>
        </w:tc>
      </w:tr>
      <w:tr>
        <w:tc>
          <w:tcPr>
            <w:tcW w:type="dxa" w:w="4320"/>
          </w:tcPr>
          <w:p>
            <w:r>
              <w:t>Authentication</w:t>
            </w:r>
          </w:p>
        </w:tc>
        <w:tc>
          <w:tcPr>
            <w:tcW w:type="dxa" w:w="4320"/>
          </w:tcPr>
          <w:p>
            <w:r>
              <w:t>IAM</w:t>
            </w:r>
          </w:p>
        </w:tc>
      </w:tr>
      <w:tr>
        <w:tc>
          <w:tcPr>
            <w:tcW w:type="dxa" w:w="4320"/>
          </w:tcPr>
          <w:p>
            <w:r>
              <w:t>Logging</w:t>
            </w:r>
          </w:p>
        </w:tc>
        <w:tc>
          <w:tcPr>
            <w:tcW w:type="dxa" w:w="4320"/>
          </w:tcPr>
          <w:p>
            <w:r>
              <w:t>Enabled</w:t>
            </w:r>
          </w:p>
        </w:tc>
      </w:tr>
      <w:tr>
        <w:tc>
          <w:tcPr>
            <w:tcW w:type="dxa" w:w="4320"/>
          </w:tcPr>
          <w:p>
            <w:r>
              <w:t>Monitoring</w:t>
            </w:r>
          </w:p>
        </w:tc>
        <w:tc>
          <w:tcPr>
            <w:tcW w:type="dxa" w:w="4320"/>
          </w:tcPr>
          <w:p>
            <w:r>
              <w:t>Enabled</w:t>
            </w:r>
          </w:p>
        </w:tc>
      </w:tr>
    </w:tbl>
    <w:p>
      <w:r>
        <w:t>This section represents the authoritative architectural decisions approved by the Enterprise Architecture Review Board.</w:t>
      </w:r>
    </w:p>
    <w:p>
      <w:pPr>
        <w:pStyle w:val="Heading2"/>
      </w:pPr>
      <w:r>
        <w:t>5. Architecture Decision</w:t>
      </w:r>
    </w:p>
    <w:p>
      <w:pPr>
        <w:pStyle w:val="Heading3"/>
      </w:pPr>
      <w:r>
        <w:t>5.1 Messaging Platform</w:t>
      </w:r>
    </w:p>
    <w:p>
      <w:r>
        <w:t>Google Cloud Pub/Sub shall be the standard enterprise messaging platform.</w:t>
      </w:r>
    </w:p>
    <w:p>
      <w:pPr>
        <w:pStyle w:val="Heading3"/>
      </w:pPr>
      <w:r>
        <w:t>5.2 Reliability</w:t>
      </w:r>
    </w:p>
    <w:p>
      <w:r>
        <w:t>Retry policies and Dead Letter Topics shall be configured for production workloads.</w:t>
      </w:r>
    </w:p>
    <w:p>
      <w:pPr>
        <w:pStyle w:val="Heading3"/>
      </w:pPr>
      <w:r>
        <w:t>5.3 Security</w:t>
      </w:r>
    </w:p>
    <w:p>
      <w:r>
        <w:t>IAM shall control publisher and subscriber permissions.</w:t>
      </w:r>
    </w:p>
    <w:p>
      <w:pPr>
        <w:pStyle w:val="Heading3"/>
      </w:pPr>
      <w:r>
        <w:t>5.4 Logging</w:t>
      </w:r>
    </w:p>
    <w:p>
      <w:r>
        <w:t>Audit and operational logging shall be enabled.</w:t>
      </w:r>
    </w:p>
    <w:p>
      <w:pPr>
        <w:pStyle w:val="Heading3"/>
      </w:pPr>
      <w:r>
        <w:t>5.5 Monitoring</w:t>
      </w:r>
    </w:p>
    <w:p>
      <w:r>
        <w:t>Subscription health, backlog and failures shall be monitored.</w:t>
      </w:r>
    </w:p>
    <w:p>
      <w:pPr>
        <w:pStyle w:val="Heading2"/>
      </w:pPr>
      <w:r>
        <w:t>6. Decision Rationale</w:t>
      </w:r>
    </w:p>
    <w:p>
      <w:pPr>
        <w:pStyle w:val="ListBullet"/>
      </w:pPr>
      <w:r>
        <w:t>Provides a fully managed messaging platform.</w:t>
      </w:r>
    </w:p>
    <w:p>
      <w:pPr>
        <w:pStyle w:val="ListBullet"/>
      </w:pPr>
      <w:r>
        <w:t>Supports event-driven architecture.</w:t>
      </w:r>
    </w:p>
    <w:p>
      <w:pPr>
        <w:pStyle w:val="ListBullet"/>
      </w:pPr>
      <w:r>
        <w:t>Reduces operational overhead.</w:t>
      </w:r>
    </w:p>
    <w:p>
      <w:pPr>
        <w:pStyle w:val="ListBullet"/>
      </w:pPr>
      <w:r>
        <w:t>Integrates natively with GCP services.</w:t>
      </w:r>
    </w:p>
    <w:p>
      <w:pPr>
        <w:pStyle w:val="ListBullet"/>
      </w:pPr>
      <w:r>
        <w:t>Supports resilient banking workloads.</w:t>
      </w:r>
    </w:p>
    <w:p>
      <w:pPr>
        <w:pStyle w:val="Heading2"/>
      </w:pPr>
      <w:r>
        <w:t>7. Alternatives Considered</w:t>
      </w:r>
    </w:p>
    <w:tbl>
      <w:tblPr>
        <w:tblStyle w:val="TableGrid"/>
        <w:tblW w:type="auto" w:w="0"/>
        <w:tblLook w:firstColumn="1" w:firstRow="1" w:lastColumn="0" w:lastRow="0" w:noHBand="0" w:noVBand="1" w:val="04A0"/>
      </w:tblPr>
      <w:tblGrid>
        <w:gridCol w:w="2880"/>
        <w:gridCol w:w="2880"/>
        <w:gridCol w:w="2880"/>
      </w:tblGrid>
      <w:tr>
        <w:tc>
          <w:tcPr>
            <w:tcW w:type="dxa" w:w="2880"/>
          </w:tcPr>
          <w:p>
            <w:r>
              <w:t>Alternative</w:t>
            </w:r>
          </w:p>
        </w:tc>
        <w:tc>
          <w:tcPr>
            <w:tcW w:type="dxa" w:w="2880"/>
          </w:tcPr>
          <w:p>
            <w:r>
              <w:t>Decision</w:t>
            </w:r>
          </w:p>
        </w:tc>
        <w:tc>
          <w:tcPr>
            <w:tcW w:type="dxa" w:w="2880"/>
          </w:tcPr>
          <w:p>
            <w:r>
              <w:t>Reason</w:t>
            </w:r>
          </w:p>
        </w:tc>
      </w:tr>
      <w:tr>
        <w:tc>
          <w:tcPr>
            <w:tcW w:type="dxa" w:w="2880"/>
          </w:tcPr>
          <w:p>
            <w:r>
              <w:t>REST-only integration</w:t>
            </w:r>
          </w:p>
        </w:tc>
        <w:tc>
          <w:tcPr>
            <w:tcW w:type="dxa" w:w="2880"/>
          </w:tcPr>
          <w:p>
            <w:r>
              <w:t>Rejected</w:t>
            </w:r>
          </w:p>
        </w:tc>
        <w:tc>
          <w:tcPr>
            <w:tcW w:type="dxa" w:w="2880"/>
          </w:tcPr>
          <w:p>
            <w:r>
              <w:t>Creates tighter coupling between services.</w:t>
            </w:r>
          </w:p>
        </w:tc>
      </w:tr>
      <w:tr>
        <w:tc>
          <w:tcPr>
            <w:tcW w:type="dxa" w:w="2880"/>
          </w:tcPr>
          <w:p>
            <w:r>
              <w:t>Self-managed Kafka</w:t>
            </w:r>
          </w:p>
        </w:tc>
        <w:tc>
          <w:tcPr>
            <w:tcW w:type="dxa" w:w="2880"/>
          </w:tcPr>
          <w:p>
            <w:r>
              <w:t>Rejected</w:t>
            </w:r>
          </w:p>
        </w:tc>
        <w:tc>
          <w:tcPr>
            <w:tcW w:type="dxa" w:w="2880"/>
          </w:tcPr>
          <w:p>
            <w:r>
              <w:t>Higher operational overhead.</w:t>
            </w:r>
          </w:p>
        </w:tc>
      </w:tr>
      <w:tr>
        <w:tc>
          <w:tcPr>
            <w:tcW w:type="dxa" w:w="2880"/>
          </w:tcPr>
          <w:p>
            <w:r>
              <w:t>RabbitMQ</w:t>
            </w:r>
          </w:p>
        </w:tc>
        <w:tc>
          <w:tcPr>
            <w:tcW w:type="dxa" w:w="2880"/>
          </w:tcPr>
          <w:p>
            <w:r>
              <w:t>Rejected</w:t>
            </w:r>
          </w:p>
        </w:tc>
        <w:tc>
          <w:tcPr>
            <w:tcW w:type="dxa" w:w="2880"/>
          </w:tcPr>
          <w:p>
            <w:r>
              <w:t>Additional platform management.</w:t>
            </w:r>
          </w:p>
        </w:tc>
      </w:tr>
    </w:tbl>
    <w:p>
      <w:pPr>
        <w:pStyle w:val="Heading2"/>
      </w:pPr>
      <w:r>
        <w:t>8. Consequences</w:t>
      </w:r>
    </w:p>
    <w:p>
      <w:pPr>
        <w:pStyle w:val="Heading3"/>
      </w:pPr>
      <w:r>
        <w:t>Benefits</w:t>
      </w:r>
    </w:p>
    <w:p>
      <w:pPr>
        <w:pStyle w:val="ListBullet"/>
      </w:pPr>
      <w:r>
        <w:t>Improved resilience.</w:t>
      </w:r>
    </w:p>
    <w:p>
      <w:pPr>
        <w:pStyle w:val="ListBullet"/>
      </w:pPr>
      <w:r>
        <w:t>Loose coupling between services.</w:t>
      </w:r>
    </w:p>
    <w:p>
      <w:pPr>
        <w:pStyle w:val="ListBullet"/>
      </w:pPr>
      <w:r>
        <w:t>Scalable event processing.</w:t>
      </w:r>
    </w:p>
    <w:p>
      <w:pPr>
        <w:pStyle w:val="ListBullet"/>
      </w:pPr>
      <w:r>
        <w:t>Consistent integration architecture.</w:t>
      </w:r>
    </w:p>
    <w:p>
      <w:pPr>
        <w:pStyle w:val="Heading3"/>
      </w:pPr>
      <w:r>
        <w:t>Risks</w:t>
      </w:r>
    </w:p>
    <w:p>
      <w:pPr>
        <w:pStyle w:val="ListBullet"/>
      </w:pPr>
      <w:r>
        <w:t>Poor subscriber design can cause duplicate processing.</w:t>
      </w:r>
    </w:p>
    <w:p>
      <w:pPr>
        <w:pStyle w:val="ListBullet"/>
      </w:pPr>
      <w:r>
        <w:t>Missing Dead Letter Topics may delay operational recovery.</w:t>
      </w:r>
    </w:p>
    <w:p>
      <w:pPr>
        <w:pStyle w:val="Heading2"/>
      </w:pPr>
      <w:r>
        <w:t>9. Governance Requirements</w:t>
      </w:r>
    </w:p>
    <w:p>
      <w:pPr>
        <w:pStyle w:val="ListBullet"/>
      </w:pPr>
      <w:r>
        <w:t>ADR approval is required before production implementation.</w:t>
      </w:r>
    </w:p>
    <w:p>
      <w:pPr>
        <w:pStyle w:val="ListBullet"/>
      </w:pPr>
      <w:r>
        <w:t>Architecture deviations require Enterprise Architecture Review Board approval.</w:t>
      </w:r>
    </w:p>
    <w:p>
      <w:pPr>
        <w:pStyle w:val="ListBullet"/>
      </w:pPr>
      <w:r>
        <w:t>Approved exceptions shall be recorded in the Enterprise Exception Register.</w:t>
      </w:r>
    </w:p>
    <w:p>
      <w:pPr>
        <w:pStyle w:val="ListBullet"/>
      </w:pPr>
      <w:r>
        <w:t>Material architectural changes require ADR review.</w:t>
      </w:r>
    </w:p>
    <w:p>
      <w:pPr>
        <w:pStyle w:val="ListBullet"/>
      </w:pPr>
      <w:r>
        <w:t>This ADR shall be reviewed annually.</w:t>
      </w:r>
    </w:p>
    <w:p>
      <w:pPr>
        <w:pStyle w:val="Heading2"/>
      </w:pPr>
      <w:r>
        <w:t>10. Related Enterprise Standards</w:t>
      </w:r>
    </w:p>
    <w:tbl>
      <w:tblPr>
        <w:tblStyle w:val="TableGrid"/>
        <w:tblW w:type="auto" w:w="0"/>
        <w:tblLook w:firstColumn="1" w:firstRow="1" w:lastColumn="0" w:lastRow="0" w:noHBand="0" w:noVBand="1" w:val="04A0"/>
      </w:tblPr>
      <w:tblGrid>
        <w:gridCol w:w="4320"/>
        <w:gridCol w:w="4320"/>
      </w:tblGrid>
      <w:tr>
        <w:tc>
          <w:tcPr>
            <w:tcW w:type="dxa" w:w="4320"/>
          </w:tcPr>
          <w:p>
            <w:r>
              <w:t>Standard</w:t>
            </w:r>
          </w:p>
        </w:tc>
        <w:tc>
          <w:tcPr>
            <w:tcW w:type="dxa" w:w="4320"/>
          </w:tcPr>
          <w:p>
            <w:r>
              <w:t>Description</w:t>
            </w:r>
          </w:p>
        </w:tc>
      </w:tr>
      <w:tr>
        <w:tc>
          <w:tcPr>
            <w:tcW w:type="dxa" w:w="4320"/>
          </w:tcPr>
          <w:p>
            <w:r>
              <w:t>STD-001</w:t>
            </w:r>
          </w:p>
        </w:tc>
        <w:tc>
          <w:tcPr>
            <w:tcW w:type="dxa" w:w="4320"/>
          </w:tcPr>
          <w:p>
            <w:r>
              <w:t>Enterprise Architecture Documentation Standard</w:t>
            </w:r>
          </w:p>
        </w:tc>
      </w:tr>
      <w:tr>
        <w:tc>
          <w:tcPr>
            <w:tcW w:type="dxa" w:w="4320"/>
          </w:tcPr>
          <w:p>
            <w:r>
              <w:t>STD-004</w:t>
            </w:r>
          </w:p>
        </w:tc>
        <w:tc>
          <w:tcPr>
            <w:tcW w:type="dxa" w:w="4320"/>
          </w:tcPr>
          <w:p>
            <w:r>
              <w:t>Enterprise Logging Standard</w:t>
            </w:r>
          </w:p>
        </w:tc>
      </w:tr>
      <w:tr>
        <w:tc>
          <w:tcPr>
            <w:tcW w:type="dxa" w:w="4320"/>
          </w:tcPr>
          <w:p>
            <w:r>
              <w:t>STD-005</w:t>
            </w:r>
          </w:p>
        </w:tc>
        <w:tc>
          <w:tcPr>
            <w:tcW w:type="dxa" w:w="4320"/>
          </w:tcPr>
          <w:p>
            <w:r>
              <w:t>Enterprise Evidence Management Standard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