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Architecture Review Board (EARB)</w:t>
      </w:r>
    </w:p>
    <w:p>
      <w:pPr>
        <w:pStyle w:val="Heading2"/>
      </w:pPr>
      <w:r>
        <w:t>Architecture Decision Record (ADR)</w:t>
      </w:r>
    </w:p>
    <w:p>
      <w:pPr>
        <w:pStyle w:val="Heading2"/>
      </w:pPr>
      <w:r>
        <w:t>ADR-003 – Selection of Google Cloud SQL as the Managed Relational Database Platform</w:t>
      </w:r>
    </w:p>
    <w:p>
      <w:pPr>
        <w:pStyle w:val="Heading2"/>
      </w:pPr>
      <w:r>
        <w:t>Document Information</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ADR ID</w:t>
            </w:r>
          </w:p>
        </w:tc>
        <w:tc>
          <w:tcPr>
            <w:tcW w:type="dxa" w:w="4320"/>
          </w:tcPr>
          <w:p>
            <w:r>
              <w:t>ADR-003</w:t>
            </w:r>
          </w:p>
        </w:tc>
      </w:tr>
      <w:tr>
        <w:tc>
          <w:tcPr>
            <w:tcW w:type="dxa" w:w="4320"/>
          </w:tcPr>
          <w:p>
            <w:r>
              <w:t>Version</w:t>
            </w:r>
          </w:p>
        </w:tc>
        <w:tc>
          <w:tcPr>
            <w:tcW w:type="dxa" w:w="4320"/>
          </w:tcPr>
          <w:p>
            <w:r>
              <w:t>1.0</w:t>
            </w:r>
          </w:p>
        </w:tc>
      </w:tr>
      <w:tr>
        <w:tc>
          <w:tcPr>
            <w:tcW w:type="dxa" w:w="4320"/>
          </w:tcPr>
          <w:p>
            <w:r>
              <w:t>Status</w:t>
            </w:r>
          </w:p>
        </w:tc>
        <w:tc>
          <w:tcPr>
            <w:tcW w:type="dxa" w:w="4320"/>
          </w:tcPr>
          <w:p>
            <w:r>
              <w:t>Approved</w:t>
            </w:r>
          </w:p>
        </w:tc>
      </w:tr>
      <w:tr>
        <w:tc>
          <w:tcPr>
            <w:tcW w:type="dxa" w:w="4320"/>
          </w:tcPr>
          <w:p>
            <w:r>
              <w:t>Classification</w:t>
            </w:r>
          </w:p>
        </w:tc>
        <w:tc>
          <w:tcPr>
            <w:tcW w:type="dxa" w:w="4320"/>
          </w:tcPr>
          <w:p>
            <w:r>
              <w:t>Internal</w:t>
            </w:r>
          </w:p>
        </w:tc>
      </w:tr>
      <w:tr>
        <w:tc>
          <w:tcPr>
            <w:tcW w:type="dxa" w:w="4320"/>
          </w:tcPr>
          <w:p>
            <w:r>
              <w:t>Architecture Domain</w:t>
            </w:r>
          </w:p>
        </w:tc>
        <w:tc>
          <w:tcPr>
            <w:tcW w:type="dxa" w:w="4320"/>
          </w:tcPr>
          <w:p>
            <w:r>
              <w:t>Data Platform</w:t>
            </w:r>
          </w:p>
        </w:tc>
      </w:tr>
      <w:tr>
        <w:tc>
          <w:tcPr>
            <w:tcW w:type="dxa" w:w="4320"/>
          </w:tcPr>
          <w:p>
            <w:r>
              <w:t>Owner</w:t>
            </w:r>
          </w:p>
        </w:tc>
        <w:tc>
          <w:tcPr>
            <w:tcW w:type="dxa" w:w="4320"/>
          </w:tcPr>
          <w:p>
            <w:r>
              <w:t>Enterprise Architecture</w:t>
            </w:r>
          </w:p>
        </w:tc>
      </w:tr>
      <w:tr>
        <w:tc>
          <w:tcPr>
            <w:tcW w:type="dxa" w:w="4320"/>
          </w:tcPr>
          <w:p>
            <w:r>
              <w:t>Approved By</w:t>
            </w:r>
          </w:p>
        </w:tc>
        <w:tc>
          <w:tcPr>
            <w:tcW w:type="dxa" w:w="4320"/>
          </w:tcPr>
          <w:p>
            <w:r>
              <w:t>Enterprise Architecture Review Board (EARB)</w:t>
            </w:r>
          </w:p>
        </w:tc>
      </w:tr>
      <w:tr>
        <w:tc>
          <w:tcPr>
            <w:tcW w:type="dxa" w:w="4320"/>
          </w:tcPr>
          <w:p>
            <w:r>
              <w:t>Approval Date</w:t>
            </w:r>
          </w:p>
        </w:tc>
        <w:tc>
          <w:tcPr>
            <w:tcW w:type="dxa" w:w="4320"/>
          </w:tcPr>
          <w:p>
            <w:r>
              <w:t>15-Jul-2026</w:t>
            </w:r>
          </w:p>
        </w:tc>
      </w:tr>
      <w:tr>
        <w:tc>
          <w:tcPr>
            <w:tcW w:type="dxa" w:w="4320"/>
          </w:tcPr>
          <w:p>
            <w:r>
              <w:t>Review Date</w:t>
            </w:r>
          </w:p>
        </w:tc>
        <w:tc>
          <w:tcPr>
            <w:tcW w:type="dxa" w:w="4320"/>
          </w:tcPr>
          <w:p>
            <w:r>
              <w:t>15-Jul-2027</w:t>
            </w:r>
          </w:p>
        </w:tc>
      </w:tr>
    </w:tbl>
    <w:p>
      <w:pPr>
        <w:pStyle w:val="Heading2"/>
      </w:pPr>
      <w:r>
        <w:t>1. Purpose</w:t>
      </w:r>
    </w:p>
    <w:p>
      <w:r>
        <w:t>This Architecture Decision Record (ADR) documents the enterprise architectural decision to adopt Google Cloud SQL (PostgreSQL) as the managed relational database platform for workloads requiring relational database capabilities on Google Cloud Platform (GCP).</w:t>
        <w:br/>
        <w:br/>
        <w:t>The ADR establishes the mandatory architectural and governance requirements for the deployment, operation and management of Cloud SQL instances supporting production workloads.</w:t>
      </w:r>
    </w:p>
    <w:p>
      <w:pPr>
        <w:pStyle w:val="Heading2"/>
      </w:pPr>
      <w:r>
        <w:t>2. Business Context</w:t>
      </w:r>
    </w:p>
    <w:p>
      <w:r>
        <w:t>The Digital Payments Platform processes customer payment transactions and associated financial information requiring a highly available, resilient and secure relational database platform.</w:t>
        <w:br/>
        <w:br/>
        <w:t>The platform must support:</w:t>
        <w:br/>
        <w:t>• High Availability</w:t>
        <w:br/>
        <w:t>• Disaster Recovery</w:t>
        <w:br/>
        <w:t>• Automated Backup and Recovery</w:t>
        <w:br/>
        <w:t>• Enterprise Security Standards</w:t>
        <w:br/>
        <w:t>• Operational Monitoring</w:t>
        <w:br/>
        <w:t>• Centralised Logging</w:t>
        <w:br/>
        <w:t>• Regulatory Compliance</w:t>
        <w:br/>
        <w:t>• Reduced Operational Overhead</w:t>
        <w:br/>
        <w:br/>
        <w:t>The selected database platform must align with the Enterprise Cloud Strategy while supporting operational excellence and long-term maintainability.</w:t>
      </w:r>
    </w:p>
    <w:p>
      <w:pPr>
        <w:pStyle w:val="Heading2"/>
      </w:pPr>
      <w:r>
        <w:t>3. Decision Drivers</w:t>
      </w:r>
    </w:p>
    <w:p>
      <w:r>
        <w:t>Business Agility – Rapid provisioning and managed operations</w:t>
        <w:br/>
        <w:t>Security – Protection of confidential customer information</w:t>
        <w:br/>
        <w:t>Operational Excellence – Reduced infrastructure management</w:t>
        <w:br/>
        <w:t>Availability – High availability and resilience</w:t>
        <w:br/>
        <w:t>Governance – Enterprise architecture standardisation</w:t>
        <w:br/>
        <w:t>Auditability – Traceable governance and operational evidence</w:t>
        <w:br/>
        <w:t>Compliance – Alignment with Enterprise Security Standards</w:t>
      </w:r>
    </w:p>
    <w:p>
      <w:pPr>
        <w:pStyle w:val="Heading2"/>
      </w:pPr>
      <w:r>
        <w:t>4. Decision Summary</w:t>
      </w:r>
    </w:p>
    <w:p>
      <w:r>
        <w:t>Database Platform: Google Cloud SQL (PostgreSQL)</w:t>
        <w:br/>
        <w:t>Deployment Model: Managed PaaS</w:t>
        <w:br/>
        <w:t>Availability: Regional High Availability</w:t>
        <w:br/>
        <w:t>Connectivity: Private IP Only</w:t>
        <w:br/>
        <w:t>Backup: Automated Backups</w:t>
        <w:br/>
        <w:t>Recovery: Point-in-Time Recovery (PITR) Enabled</w:t>
        <w:br/>
        <w:t>Encryption: Customer-Managed Encryption Keys (CMEK)</w:t>
        <w:br/>
        <w:t>Logging: Cloud Logging Enabled</w:t>
        <w:br/>
        <w:t>Monitoring: Cloud Monitoring Enabled</w:t>
        <w:br/>
        <w:br/>
        <w:t>This section represents the authoritative architectural decisions approved by the Enterprise Architecture Review Board.</w:t>
      </w:r>
    </w:p>
    <w:p>
      <w:pPr>
        <w:pStyle w:val="Heading2"/>
      </w:pPr>
      <w:r>
        <w:t>5. Architecture Decision</w:t>
      </w:r>
    </w:p>
    <w:p>
      <w:r>
        <w:t>5.1 Database Platform</w:t>
        <w:br/>
        <w:t>Google Cloud SQL (PostgreSQL) shall be used as the managed relational database platform.</w:t>
        <w:br/>
        <w:br/>
        <w:t>5.2 Availability</w:t>
        <w:br/>
        <w:t>Production databases shall be deployed using Regional High Availability.</w:t>
        <w:br/>
        <w:br/>
        <w:t>5.3 Backup and Recovery</w:t>
        <w:br/>
        <w:t>• Automated Backups</w:t>
        <w:br/>
        <w:t>• Point-in-Time Recovery (PITR)</w:t>
        <w:br/>
        <w:t>• Backup retention in accordance with enterprise backup standards</w:t>
        <w:br/>
        <w:br/>
        <w:t>5.4 Encryption</w:t>
        <w:br/>
        <w:t>Production databases containing confidential or regulated information shall use Customer-Managed Encryption Keys (CMEK) managed through Google Cloud KMS.</w:t>
        <w:br/>
        <w:t>Google-Managed Encryption Keys (GMEK) shall not be used unless an approved Architecture Exception has been granted by the Enterprise Architecture Review Board.</w:t>
        <w:br/>
        <w:br/>
        <w:t>5.5 Connectivity</w:t>
        <w:br/>
        <w:t>Cloud SQL instances shall use Private IP connectivity. Public IP connectivity is prohibited unless explicitly approved.</w:t>
        <w:br/>
        <w:br/>
        <w:t>5.6 Logging</w:t>
        <w:br/>
        <w:t>Cloud SQL audit logging shall be enabled and retained in accordance with the Enterprise Logging Standard.</w:t>
        <w:br/>
        <w:br/>
        <w:t>5.7 Monitoring</w:t>
        <w:br/>
        <w:t>Cloud Monitoring shall monitor Database Availability, CPU Utilisation, Storage Utilisation, Connection Count and Backup Status. Critical operational alerts shall be configured before production deployment.</w:t>
      </w:r>
    </w:p>
    <w:p>
      <w:pPr>
        <w:pStyle w:val="Heading2"/>
      </w:pPr>
      <w:r>
        <w:t>6. Decision Rationale</w:t>
      </w:r>
    </w:p>
    <w:p>
      <w:r>
        <w:t>Google Cloud SQL has been selected because it provides a fully managed PostgreSQL service, reduces operational overhead, supports enterprise availability requirements, provides automated backup and recovery, integrates with Cloud KMS, supports enterprise monitoring and logging, and aligns with the organisation's Cloud Platform Strategy.</w:t>
        <w:br/>
        <w:br/>
        <w:t>The requirement for Customer-Managed Encryption Keys (CMEK) has been established to provide enterprise ownership of cryptographic keys, support segregation of duties, align with enterprise security policy, strengthen governance over key lifecycle management and satisfy regulatory and audit expectations.</w:t>
      </w:r>
    </w:p>
    <w:p>
      <w:pPr>
        <w:pStyle w:val="Heading2"/>
      </w:pPr>
      <w:r>
        <w:t>7. Alternatives Considered</w:t>
      </w:r>
    </w:p>
    <w:p>
      <w:r>
        <w:t>• Self-managed PostgreSQL on Compute Engine – Rejected (Higher operational overhead)</w:t>
        <w:br/>
        <w:t>• Google AlloyDB – Deferred (Not required for current workload complexity)</w:t>
        <w:br/>
        <w:t>• Google-Managed Encryption Keys (GMEK) – Rejected (Does not satisfy the Enterprise Encryption Standard for production customer data)</w:t>
      </w:r>
    </w:p>
    <w:p>
      <w:pPr>
        <w:pStyle w:val="Heading2"/>
      </w:pPr>
      <w:r>
        <w:t>8. Consequences</w:t>
      </w:r>
    </w:p>
    <w:p>
      <w:r>
        <w:t>Benefits:</w:t>
        <w:br/>
        <w:t>• Managed database operations</w:t>
        <w:br/>
        <w:t>• Reduced operational complexity</w:t>
        <w:br/>
        <w:t>• Improved platform resilience</w:t>
        <w:br/>
        <w:t>• Consistent enterprise architecture</w:t>
        <w:br/>
        <w:t>• Stronger governance and auditability</w:t>
        <w:br/>
        <w:t>• Improved security posture</w:t>
        <w:br/>
        <w:br/>
        <w:t>Risks:</w:t>
        <w:br/>
        <w:t>• Architecture Decision Mismatch</w:t>
        <w:br/>
        <w:t>• Non-compliance with Enterprise Standards</w:t>
        <w:br/>
        <w:t>• Increased operational risk</w:t>
        <w:br/>
        <w:t>• Audit observations during architecture assurance reviews</w:t>
        <w:br/>
        <w:t>• Delayed production approvals</w:t>
      </w:r>
    </w:p>
    <w:p>
      <w:pPr>
        <w:pStyle w:val="Heading2"/>
      </w:pPr>
      <w:r>
        <w:t>9. Governance Requirements</w:t>
      </w:r>
    </w:p>
    <w:p>
      <w:r>
        <w:t>• ADR approval prior to production deployment.</w:t>
        <w:br/>
        <w:t>• Deviations require Enterprise Architecture Review Board approval.</w:t>
        <w:br/>
        <w:t>• Approved exceptions shall be recorded in the Enterprise Exception Register.</w:t>
        <w:br/>
        <w:t>• Significant changes shall trigger an ADR review.</w:t>
        <w:br/>
        <w:t>• Review annually or following significant platform changes.</w:t>
      </w:r>
    </w:p>
    <w:p>
      <w:pPr>
        <w:pStyle w:val="Heading2"/>
      </w:pPr>
      <w:r>
        <w:t>10. Related Enterprise Standards</w:t>
      </w:r>
    </w:p>
    <w:p>
      <w:r>
        <w:t>STD-001 – Enterprise Architecture Documentation Standard</w:t>
        <w:br/>
        <w:t>STD-002 – Enterprise Encryption Standard</w:t>
        <w:br/>
        <w:t>STD-004 – Enterprise Logging Standard</w:t>
        <w:br/>
        <w:t>STD-005 – Enterprise Evidence Management Standard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