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Architecture Review Board (EARB)</w:t>
      </w:r>
    </w:p>
    <w:p>
      <w:pPr>
        <w:pStyle w:val="Heading2"/>
      </w:pPr>
      <w:r>
        <w:t>Architecture Decision Record (ADR)</w:t>
      </w:r>
    </w:p>
    <w:p>
      <w:pPr>
        <w:pStyle w:val="Heading2"/>
      </w:pPr>
      <w:r>
        <w:t>ADR-004 – Standardisation of Enterprise Resource Metadata</w:t>
      </w:r>
    </w:p>
    <w:p>
      <w:pPr>
        <w:pStyle w:val="Heading2"/>
      </w:pPr>
      <w:r>
        <w:t>Document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  <w:tr>
        <w:tc>
          <w:tcPr>
            <w:tcW w:type="dxa" w:w="4320"/>
          </w:tcPr>
          <w:p>
            <w:r>
              <w:t>Architecture Domain</w:t>
            </w:r>
          </w:p>
        </w:tc>
        <w:tc>
          <w:tcPr>
            <w:tcW w:type="dxa" w:w="4320"/>
          </w:tcPr>
          <w:p>
            <w:r>
              <w:t>Cloud Governance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Enterprise Architecture</w:t>
            </w:r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>
              <w:t>Enterprise Architecture Review Board (EARB)</w:t>
            </w:r>
          </w:p>
        </w:tc>
      </w:tr>
      <w:tr>
        <w:tc>
          <w:tcPr>
            <w:tcW w:type="dxa" w:w="4320"/>
          </w:tcPr>
          <w:p>
            <w:r>
              <w:t>Approval Date</w:t>
            </w:r>
          </w:p>
        </w:tc>
        <w:tc>
          <w:tcPr>
            <w:tcW w:type="dxa" w:w="4320"/>
          </w:tcPr>
          <w:p>
            <w:r>
              <w:t>15-Jul-2026</w:t>
            </w:r>
          </w:p>
        </w:tc>
      </w:tr>
      <w:tr>
        <w:tc>
          <w:tcPr>
            <w:tcW w:type="dxa" w:w="4320"/>
          </w:tcPr>
          <w:p>
            <w:r>
              <w:t>Review Date</w:t>
            </w:r>
          </w:p>
        </w:tc>
        <w:tc>
          <w:tcPr>
            <w:tcW w:type="dxa" w:w="4320"/>
          </w:tcPr>
          <w:p>
            <w:r>
              <w:t>15-Jul-2027</w:t>
            </w:r>
          </w:p>
        </w:tc>
      </w:tr>
    </w:tbl>
    <w:p>
      <w:pPr>
        <w:pStyle w:val="Heading2"/>
      </w:pPr>
      <w:r>
        <w:t>1. Purpose</w:t>
      </w:r>
    </w:p>
    <w:p>
      <w:r>
        <w:t>Define mandatory metadata requirements for all production cloud resources.</w:t>
      </w:r>
    </w:p>
    <w:p>
      <w:pPr>
        <w:pStyle w:val="Heading2"/>
      </w:pPr>
      <w:r>
        <w:t>2. Business Context</w:t>
      </w:r>
    </w:p>
    <w:p>
      <w:r>
        <w:t>Effective governance requires every production resource to have clear ownership, business context and financial accountability. Standardised metadata enables operational support, cost allocation, lifecycle management and audit readiness.</w:t>
      </w:r>
    </w:p>
    <w:p>
      <w:pPr>
        <w:pStyle w:val="Heading2"/>
      </w:pPr>
      <w:r>
        <w:t>3. Decision Drivers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Business Agility</w:t>
            </w:r>
          </w:p>
        </w:tc>
        <w:tc>
          <w:tcPr>
            <w:tcW w:type="dxa" w:w="4320"/>
          </w:tcPr>
          <w:p>
            <w:r>
              <w:t>Support rapid delivery of banking services.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Protect customer and financial information.</w:t>
            </w:r>
          </w:p>
        </w:tc>
      </w:tr>
      <w:tr>
        <w:tc>
          <w:tcPr>
            <w:tcW w:type="dxa" w:w="4320"/>
          </w:tcPr>
          <w:p>
            <w:r>
              <w:t>Operational Excellence</w:t>
            </w:r>
          </w:p>
        </w:tc>
        <w:tc>
          <w:tcPr>
            <w:tcW w:type="dxa" w:w="4320"/>
          </w:tcPr>
          <w:p>
            <w:r>
              <w:t>Reduce operational complexity.</w:t>
            </w:r>
          </w:p>
        </w:tc>
      </w:tr>
      <w:tr>
        <w:tc>
          <w:tcPr>
            <w:tcW w:type="dxa" w:w="4320"/>
          </w:tcPr>
          <w:p>
            <w:r>
              <w:t>Availability</w:t>
            </w:r>
          </w:p>
        </w:tc>
        <w:tc>
          <w:tcPr>
            <w:tcW w:type="dxa" w:w="4320"/>
          </w:tcPr>
          <w:p>
            <w:r>
              <w:t>Support resilient production services.</w:t>
            </w:r>
          </w:p>
        </w:tc>
      </w:tr>
      <w:tr>
        <w:tc>
          <w:tcPr>
            <w:tcW w:type="dxa" w:w="4320"/>
          </w:tcPr>
          <w:p>
            <w:r>
              <w:t>Governance</w:t>
            </w:r>
          </w:p>
        </w:tc>
        <w:tc>
          <w:tcPr>
            <w:tcW w:type="dxa" w:w="4320"/>
          </w:tcPr>
          <w:p>
            <w:r>
              <w:t>Standardise enterprise architecture.</w:t>
            </w:r>
          </w:p>
        </w:tc>
      </w:tr>
      <w:tr>
        <w:tc>
          <w:tcPr>
            <w:tcW w:type="dxa" w:w="4320"/>
          </w:tcPr>
          <w:p>
            <w:r>
              <w:t>Auditability</w:t>
            </w:r>
          </w:p>
        </w:tc>
        <w:tc>
          <w:tcPr>
            <w:tcW w:type="dxa" w:w="4320"/>
          </w:tcPr>
          <w:p>
            <w:r>
              <w:t>Provide consistent operational evidence.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Align with enterprise cloud standards.</w:t>
            </w:r>
          </w:p>
        </w:tc>
      </w:tr>
    </w:tbl>
    <w:p>
      <w:pPr>
        <w:pStyle w:val="Heading2"/>
      </w:pPr>
      <w:r>
        <w:t>4. Architecture Decision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Decision Area</w:t>
            </w:r>
          </w:p>
        </w:tc>
        <w:tc>
          <w:tcPr>
            <w:tcW w:type="dxa" w:w="4320"/>
          </w:tcPr>
          <w:p>
            <w:r>
              <w:t>Approved Decision</w:t>
            </w:r>
          </w:p>
        </w:tc>
      </w:tr>
      <w:tr>
        <w:tc>
          <w:tcPr>
            <w:tcW w:type="dxa" w:w="4320"/>
          </w:tcPr>
          <w:p>
            <w:r>
              <w:t>Business Owner</w:t>
            </w:r>
          </w:p>
        </w:tc>
        <w:tc>
          <w:tcPr>
            <w:tcW w:type="dxa" w:w="4320"/>
          </w:tcPr>
          <w:p>
            <w:r>
              <w:t>Mandatory</w:t>
            </w:r>
          </w:p>
        </w:tc>
      </w:tr>
      <w:tr>
        <w:tc>
          <w:tcPr>
            <w:tcW w:type="dxa" w:w="4320"/>
          </w:tcPr>
          <w:p>
            <w:r>
              <w:t>Technical Owner</w:t>
            </w:r>
          </w:p>
        </w:tc>
        <w:tc>
          <w:tcPr>
            <w:tcW w:type="dxa" w:w="4320"/>
          </w:tcPr>
          <w:p>
            <w:r>
              <w:t>Mandatory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Mandatory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Mandatory</w:t>
            </w:r>
          </w:p>
        </w:tc>
      </w:tr>
      <w:tr>
        <w:tc>
          <w:tcPr>
            <w:tcW w:type="dxa" w:w="4320"/>
          </w:tcPr>
          <w:p>
            <w:r>
              <w:t>Business Criticality</w:t>
            </w:r>
          </w:p>
        </w:tc>
        <w:tc>
          <w:tcPr>
            <w:tcW w:type="dxa" w:w="4320"/>
          </w:tcPr>
          <w:p>
            <w:r>
              <w:t>Mandatory</w:t>
            </w:r>
          </w:p>
        </w:tc>
      </w:tr>
      <w:tr>
        <w:tc>
          <w:tcPr>
            <w:tcW w:type="dxa" w:w="4320"/>
          </w:tcPr>
          <w:p>
            <w:r>
              <w:t>Cost Centre</w:t>
            </w:r>
          </w:p>
        </w:tc>
        <w:tc>
          <w:tcPr>
            <w:tcW w:type="dxa" w:w="4320"/>
          </w:tcPr>
          <w:p>
            <w:r>
              <w:t>Mandatory</w:t>
            </w:r>
          </w:p>
        </w:tc>
      </w:tr>
      <w:tr>
        <w:tc>
          <w:tcPr>
            <w:tcW w:type="dxa" w:w="4320"/>
          </w:tcPr>
          <w:p>
            <w:r>
              <w:t>Data Classification</w:t>
            </w:r>
          </w:p>
        </w:tc>
        <w:tc>
          <w:tcPr>
            <w:tcW w:type="dxa" w:w="4320"/>
          </w:tcPr>
          <w:p>
            <w:r>
              <w:t>Mandatory</w:t>
            </w:r>
          </w:p>
        </w:tc>
      </w:tr>
    </w:tbl>
    <w:p>
      <w:r>
        <w:t>This section represents the authoritative architectural decisions approved by the Enterprise Architecture Review Board.</w:t>
      </w:r>
    </w:p>
    <w:p>
      <w:pPr>
        <w:pStyle w:val="Heading2"/>
      </w:pPr>
      <w:r>
        <w:t>5. Architecture Decision</w:t>
      </w:r>
    </w:p>
    <w:p>
      <w:pPr>
        <w:pStyle w:val="Heading3"/>
      </w:pPr>
      <w:r>
        <w:t>5.1 Mandatory Labels</w:t>
      </w:r>
    </w:p>
    <w:p>
      <w:r>
        <w:t>All production resources shall include the enterprise-approved metadata labels.</w:t>
      </w:r>
    </w:p>
    <w:p>
      <w:pPr>
        <w:pStyle w:val="Heading3"/>
      </w:pPr>
      <w:r>
        <w:t>5.2 Ownership</w:t>
      </w:r>
    </w:p>
    <w:p>
      <w:r>
        <w:t>Business and technical ownership shall be maintained throughout the resource lifecycle.</w:t>
      </w:r>
    </w:p>
    <w:p>
      <w:pPr>
        <w:pStyle w:val="Heading3"/>
      </w:pPr>
      <w:r>
        <w:t>5.3 Validation</w:t>
      </w:r>
    </w:p>
    <w:p>
      <w:r>
        <w:t>Resources without mandatory metadata shall not be promoted to production.</w:t>
      </w:r>
    </w:p>
    <w:p>
      <w:pPr>
        <w:pStyle w:val="Heading3"/>
      </w:pPr>
      <w:r>
        <w:t>5.4 Lifecycle</w:t>
      </w:r>
    </w:p>
    <w:p>
      <w:r>
        <w:t>Metadata shall be updated whenever ownership or business context changes.</w:t>
      </w:r>
    </w:p>
    <w:p>
      <w:pPr>
        <w:pStyle w:val="Heading2"/>
      </w:pPr>
      <w:r>
        <w:t>6. Decision Rationale</w:t>
      </w:r>
    </w:p>
    <w:p>
      <w:pPr>
        <w:pStyle w:val="ListBullet"/>
      </w:pPr>
      <w:r>
        <w:t>Provides operational accountability.</w:t>
      </w:r>
    </w:p>
    <w:p>
      <w:pPr>
        <w:pStyle w:val="ListBullet"/>
      </w:pPr>
      <w:r>
        <w:t>Improves governance reporting.</w:t>
      </w:r>
    </w:p>
    <w:p>
      <w:pPr>
        <w:pStyle w:val="ListBullet"/>
      </w:pPr>
      <w:r>
        <w:t>Supports automation and inventory management.</w:t>
      </w:r>
    </w:p>
    <w:p>
      <w:pPr>
        <w:pStyle w:val="ListBullet"/>
      </w:pPr>
      <w:r>
        <w:t>Strengthens audit traceability.</w:t>
      </w:r>
    </w:p>
    <w:p>
      <w:pPr>
        <w:pStyle w:val="Heading2"/>
      </w:pPr>
      <w:r>
        <w:t>7. Alternatives Considered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Alternative</w:t>
            </w:r>
          </w:p>
        </w:tc>
        <w:tc>
          <w:tcPr>
            <w:tcW w:type="dxa" w:w="2880"/>
          </w:tcPr>
          <w:p>
            <w:r>
              <w:t>Decision</w:t>
            </w:r>
          </w:p>
        </w:tc>
        <w:tc>
          <w:tcPr>
            <w:tcW w:type="dxa" w:w="2880"/>
          </w:tcPr>
          <w:p>
            <w:r>
              <w:t>Reason</w:t>
            </w:r>
          </w:p>
        </w:tc>
      </w:tr>
      <w:tr>
        <w:tc>
          <w:tcPr>
            <w:tcW w:type="dxa" w:w="2880"/>
          </w:tcPr>
          <w:p>
            <w:r>
              <w:t>Optional metadata</w:t>
            </w:r>
          </w:p>
        </w:tc>
        <w:tc>
          <w:tcPr>
            <w:tcW w:type="dxa" w:w="2880"/>
          </w:tcPr>
          <w:p>
            <w:r>
              <w:t>Rejected</w:t>
            </w:r>
          </w:p>
        </w:tc>
        <w:tc>
          <w:tcPr>
            <w:tcW w:type="dxa" w:w="2880"/>
          </w:tcPr>
          <w:p>
            <w:r>
              <w:t>Leads to inconsistent governance.</w:t>
            </w:r>
          </w:p>
        </w:tc>
      </w:tr>
      <w:tr>
        <w:tc>
          <w:tcPr>
            <w:tcW w:type="dxa" w:w="2880"/>
          </w:tcPr>
          <w:p>
            <w:r>
              <w:t>External ownership spreadsheets</w:t>
            </w:r>
          </w:p>
        </w:tc>
        <w:tc>
          <w:tcPr>
            <w:tcW w:type="dxa" w:w="2880"/>
          </w:tcPr>
          <w:p>
            <w:r>
              <w:t>Rejected</w:t>
            </w:r>
          </w:p>
        </w:tc>
        <w:tc>
          <w:tcPr>
            <w:tcW w:type="dxa" w:w="2880"/>
          </w:tcPr>
          <w:p>
            <w:r>
              <w:t>Not an authoritative source.</w:t>
            </w:r>
          </w:p>
        </w:tc>
      </w:tr>
    </w:tbl>
    <w:p>
      <w:pPr>
        <w:pStyle w:val="Heading2"/>
      </w:pPr>
      <w:r>
        <w:t>8. Consequences</w:t>
      </w:r>
    </w:p>
    <w:p>
      <w:pPr>
        <w:pStyle w:val="Heading3"/>
      </w:pPr>
      <w:r>
        <w:t>Benefits</w:t>
      </w:r>
    </w:p>
    <w:p>
      <w:pPr>
        <w:pStyle w:val="ListBullet"/>
      </w:pPr>
      <w:r>
        <w:t>Improved accountability.</w:t>
      </w:r>
    </w:p>
    <w:p>
      <w:pPr>
        <w:pStyle w:val="ListBullet"/>
      </w:pPr>
      <w:r>
        <w:t>Better financial reporting.</w:t>
      </w:r>
    </w:p>
    <w:p>
      <w:pPr>
        <w:pStyle w:val="ListBullet"/>
      </w:pPr>
      <w:r>
        <w:t>Consistent governance.</w:t>
      </w:r>
    </w:p>
    <w:p>
      <w:pPr>
        <w:pStyle w:val="Heading3"/>
      </w:pPr>
      <w:r>
        <w:t>Risks</w:t>
      </w:r>
    </w:p>
    <w:p>
      <w:pPr>
        <w:pStyle w:val="ListBullet"/>
      </w:pPr>
      <w:r>
        <w:t>Missing ownership information.</w:t>
      </w:r>
    </w:p>
    <w:p>
      <w:pPr>
        <w:pStyle w:val="ListBullet"/>
      </w:pPr>
      <w:r>
        <w:t>Reduced audit readiness.</w:t>
      </w:r>
    </w:p>
    <w:p>
      <w:pPr>
        <w:pStyle w:val="ListBullet"/>
      </w:pPr>
      <w:r>
        <w:t>Inaccurate chargeback reporting.</w:t>
      </w:r>
    </w:p>
    <w:p>
      <w:pPr>
        <w:pStyle w:val="Heading2"/>
      </w:pPr>
      <w:r>
        <w:t>9. Governance Requirements</w:t>
      </w:r>
    </w:p>
    <w:p>
      <w:pPr>
        <w:pStyle w:val="ListBullet"/>
      </w:pPr>
      <w:r>
        <w:t>ADR approval is required before production implementation.</w:t>
      </w:r>
    </w:p>
    <w:p>
      <w:pPr>
        <w:pStyle w:val="ListBullet"/>
      </w:pPr>
      <w:r>
        <w:t>Architecture deviations require Enterprise Architecture Review Board approval.</w:t>
      </w:r>
    </w:p>
    <w:p>
      <w:pPr>
        <w:pStyle w:val="ListBullet"/>
      </w:pPr>
      <w:r>
        <w:t>Approved exceptions shall be recorded in the Enterprise Exception Register.</w:t>
      </w:r>
    </w:p>
    <w:p>
      <w:pPr>
        <w:pStyle w:val="ListBullet"/>
      </w:pPr>
      <w:r>
        <w:t>Material architectural changes require ADR review.</w:t>
      </w:r>
    </w:p>
    <w:p>
      <w:pPr>
        <w:pStyle w:val="ListBullet"/>
      </w:pPr>
      <w:r>
        <w:t>This ADR shall be reviewed annually.</w:t>
      </w:r>
    </w:p>
    <w:p>
      <w:pPr>
        <w:pStyle w:val="Heading2"/>
      </w:pPr>
      <w:r>
        <w:t>10. Related Enterprise Standards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Standard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STD-003</w:t>
            </w:r>
          </w:p>
        </w:tc>
        <w:tc>
          <w:tcPr>
            <w:tcW w:type="dxa" w:w="4320"/>
          </w:tcPr>
          <w:p>
            <w:r>
              <w:t>Enterprise Resource Metadata Standard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