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Architecture Review Board (EARB)</w:t>
      </w:r>
    </w:p>
    <w:p>
      <w:pPr>
        <w:pStyle w:val="Heading2"/>
      </w:pPr>
      <w:r>
        <w:t>Architecture Decision Record (ADR)</w:t>
      </w:r>
    </w:p>
    <w:p>
      <w:pPr>
        <w:pStyle w:val="Heading2"/>
      </w:pPr>
      <w:r>
        <w:t>ADR-005 – Standardisation of Operational Observability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Architecture Domain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Enterprise Architecture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Enterprise Architecture Review Board (EARB)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15-Jul-2026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15-Jul-2027</w:t>
            </w:r>
          </w:p>
        </w:tc>
      </w:tr>
    </w:tbl>
    <w:p>
      <w:pPr>
        <w:pStyle w:val="Heading2"/>
      </w:pPr>
      <w:r>
        <w:t>1. Purpose</w:t>
      </w:r>
    </w:p>
    <w:p>
      <w:r>
        <w:t>Define enterprise observability requirements for production cloud workloads.</w:t>
      </w:r>
    </w:p>
    <w:p>
      <w:pPr>
        <w:pStyle w:val="Heading2"/>
      </w:pPr>
      <w:r>
        <w:t>2. Business Context</w:t>
      </w:r>
    </w:p>
    <w:p>
      <w:r>
        <w:t>Production banking workloads require comprehensive logging, monitoring and alerting to support operational support, cyber investigations, service resilience and audit assurance. Observability is a mandatory architectural capability, not an optional operational feature.</w:t>
      </w:r>
    </w:p>
    <w:p>
      <w:pPr>
        <w:pStyle w:val="Heading2"/>
      </w:pPr>
      <w:r>
        <w:t>3. Decision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Business Agility</w:t>
            </w:r>
          </w:p>
        </w:tc>
        <w:tc>
          <w:tcPr>
            <w:tcW w:type="dxa" w:w="4320"/>
          </w:tcPr>
          <w:p>
            <w:r>
              <w:t>Support rapid delivery of banking services.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Protect customer and financial information.</w:t>
            </w:r>
          </w:p>
        </w:tc>
      </w:tr>
      <w:tr>
        <w:tc>
          <w:tcPr>
            <w:tcW w:type="dxa" w:w="4320"/>
          </w:tcPr>
          <w:p>
            <w:r>
              <w:t>Operational Excellence</w:t>
            </w:r>
          </w:p>
        </w:tc>
        <w:tc>
          <w:tcPr>
            <w:tcW w:type="dxa" w:w="4320"/>
          </w:tcPr>
          <w:p>
            <w:r>
              <w:t>Reduce operational complexity.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Support resilient production services.</w:t>
            </w:r>
          </w:p>
        </w:tc>
      </w:tr>
      <w:tr>
        <w:tc>
          <w:tcPr>
            <w:tcW w:type="dxa" w:w="4320"/>
          </w:tcPr>
          <w:p>
            <w:r>
              <w:t>Governance</w:t>
            </w:r>
          </w:p>
        </w:tc>
        <w:tc>
          <w:tcPr>
            <w:tcW w:type="dxa" w:w="4320"/>
          </w:tcPr>
          <w:p>
            <w:r>
              <w:t>Standardise enterprise architecture.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t>Provide consistent operational evidence.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Align with enterprise cloud standards.</w:t>
            </w:r>
          </w:p>
        </w:tc>
      </w:tr>
    </w:tbl>
    <w:p>
      <w:pPr>
        <w:pStyle w:val="Heading2"/>
      </w:pPr>
      <w:r>
        <w:t>4. Architecture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 Area</w:t>
            </w:r>
          </w:p>
        </w:tc>
        <w:tc>
          <w:tcPr>
            <w:tcW w:type="dxa" w:w="4320"/>
          </w:tcPr>
          <w:p>
            <w:r>
              <w:t>Approved Decision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Alerting</w:t>
            </w:r>
          </w:p>
        </w:tc>
        <w:tc>
          <w:tcPr>
            <w:tcW w:type="dxa" w:w="4320"/>
          </w:tcPr>
          <w:p>
            <w:r>
              <w:t>Mandatory</w:t>
            </w:r>
          </w:p>
        </w:tc>
      </w:tr>
      <w:tr>
        <w:tc>
          <w:tcPr>
            <w:tcW w:type="dxa" w:w="4320"/>
          </w:tcPr>
          <w:p>
            <w:r>
              <w:t>Audit Logs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Enterprise Policy</w:t>
            </w:r>
          </w:p>
        </w:tc>
      </w:tr>
    </w:tbl>
    <w:p>
      <w:r>
        <w:t>This section represents the authoritative architectural decisions approved by the Enterprise Architecture Review Board.</w:t>
      </w:r>
    </w:p>
    <w:p>
      <w:pPr>
        <w:pStyle w:val="Heading2"/>
      </w:pPr>
      <w:r>
        <w:t>5. Architecture Decision</w:t>
      </w:r>
    </w:p>
    <w:p>
      <w:pPr>
        <w:pStyle w:val="Heading3"/>
      </w:pPr>
      <w:r>
        <w:t>5.1 Logging</w:t>
      </w:r>
    </w:p>
    <w:p>
      <w:r>
        <w:t>Cloud Logging shall be enabled for all production services.</w:t>
      </w:r>
    </w:p>
    <w:p>
      <w:pPr>
        <w:pStyle w:val="Heading3"/>
      </w:pPr>
      <w:r>
        <w:t>5.2 Monitoring</w:t>
      </w:r>
    </w:p>
    <w:p>
      <w:r>
        <w:t>Cloud Monitoring shall capture service health, latency, utilisation and availability.</w:t>
      </w:r>
    </w:p>
    <w:p>
      <w:pPr>
        <w:pStyle w:val="Heading3"/>
      </w:pPr>
      <w:r>
        <w:t>5.3 Alerting</w:t>
      </w:r>
    </w:p>
    <w:p>
      <w:r>
        <w:t>Critical alerts shall be configured before production deployment.</w:t>
      </w:r>
    </w:p>
    <w:p>
      <w:pPr>
        <w:pStyle w:val="Heading3"/>
      </w:pPr>
      <w:r>
        <w:t>5.4 Retention</w:t>
      </w:r>
    </w:p>
    <w:p>
      <w:r>
        <w:t>Logs shall be retained according to enterprise policy.</w:t>
      </w:r>
    </w:p>
    <w:p>
      <w:pPr>
        <w:pStyle w:val="Heading2"/>
      </w:pPr>
      <w:r>
        <w:t>6. Decision Rationale</w:t>
      </w:r>
    </w:p>
    <w:p>
      <w:pPr>
        <w:pStyle w:val="ListBullet"/>
      </w:pPr>
      <w:r>
        <w:t>Provides operational visibility.</w:t>
      </w:r>
    </w:p>
    <w:p>
      <w:pPr>
        <w:pStyle w:val="ListBullet"/>
      </w:pPr>
      <w:r>
        <w:t>Improves incident response.</w:t>
      </w:r>
    </w:p>
    <w:p>
      <w:pPr>
        <w:pStyle w:val="ListBullet"/>
      </w:pPr>
      <w:r>
        <w:t>Supports forensic investigations.</w:t>
      </w:r>
    </w:p>
    <w:p>
      <w:pPr>
        <w:pStyle w:val="ListBullet"/>
      </w:pPr>
      <w:r>
        <w:t>Provides evidence for internal and external audits.</w:t>
      </w:r>
    </w:p>
    <w:p>
      <w:pPr>
        <w:pStyle w:val="Heading2"/>
      </w:pPr>
      <w:r>
        <w:t>7. Alternatives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Alternative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Application-only logging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Insufficient operational visibility.</w:t>
            </w:r>
          </w:p>
        </w:tc>
      </w:tr>
      <w:tr>
        <w:tc>
          <w:tcPr>
            <w:tcW w:type="dxa" w:w="2880"/>
          </w:tcPr>
          <w:p>
            <w:r>
              <w:t>Manual monitoring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Not suitable for production banking services.</w:t>
            </w:r>
          </w:p>
        </w:tc>
      </w:tr>
    </w:tbl>
    <w:p>
      <w:pPr>
        <w:pStyle w:val="Heading2"/>
      </w:pPr>
      <w:r>
        <w:t>8. Consequences</w:t>
      </w:r>
    </w:p>
    <w:p>
      <w:pPr>
        <w:pStyle w:val="Heading3"/>
      </w:pPr>
      <w:r>
        <w:t>Benefits</w:t>
      </w:r>
    </w:p>
    <w:p>
      <w:pPr>
        <w:pStyle w:val="ListBullet"/>
      </w:pPr>
      <w:r>
        <w:t>Improved resilience.</w:t>
      </w:r>
    </w:p>
    <w:p>
      <w:pPr>
        <w:pStyle w:val="ListBullet"/>
      </w:pPr>
      <w:r>
        <w:t>Faster incident detection.</w:t>
      </w:r>
    </w:p>
    <w:p>
      <w:pPr>
        <w:pStyle w:val="ListBullet"/>
      </w:pPr>
      <w:r>
        <w:t>Higher audit confidence.</w:t>
      </w:r>
    </w:p>
    <w:p>
      <w:pPr>
        <w:pStyle w:val="Heading3"/>
      </w:pPr>
      <w:r>
        <w:t>Risks</w:t>
      </w:r>
    </w:p>
    <w:p>
      <w:pPr>
        <w:pStyle w:val="ListBullet"/>
      </w:pPr>
      <w:r>
        <w:t>Undetected production issues.</w:t>
      </w:r>
    </w:p>
    <w:p>
      <w:pPr>
        <w:pStyle w:val="ListBullet"/>
      </w:pPr>
      <w:r>
        <w:t>Reduced audit evidence.</w:t>
      </w:r>
    </w:p>
    <w:p>
      <w:pPr>
        <w:pStyle w:val="ListBullet"/>
      </w:pPr>
      <w:r>
        <w:t>Longer recovery times.</w:t>
      </w:r>
    </w:p>
    <w:p>
      <w:pPr>
        <w:pStyle w:val="Heading2"/>
      </w:pPr>
      <w:r>
        <w:t>9. Governance Requirements</w:t>
      </w:r>
    </w:p>
    <w:p>
      <w:pPr>
        <w:pStyle w:val="ListBullet"/>
      </w:pPr>
      <w:r>
        <w:t>ADR approval is required before production implementation.</w:t>
      </w:r>
    </w:p>
    <w:p>
      <w:pPr>
        <w:pStyle w:val="ListBullet"/>
      </w:pPr>
      <w:r>
        <w:t>Architecture deviations require Enterprise Architecture Review Board approval.</w:t>
      </w:r>
    </w:p>
    <w:p>
      <w:pPr>
        <w:pStyle w:val="ListBullet"/>
      </w:pPr>
      <w:r>
        <w:t>Approved exceptions shall be recorded in the Enterprise Exception Register.</w:t>
      </w:r>
    </w:p>
    <w:p>
      <w:pPr>
        <w:pStyle w:val="ListBullet"/>
      </w:pPr>
      <w:r>
        <w:t>Material architectural changes require ADR review.</w:t>
      </w:r>
    </w:p>
    <w:p>
      <w:pPr>
        <w:pStyle w:val="ListBullet"/>
      </w:pPr>
      <w:r>
        <w:t>This ADR shall be reviewed annually.</w:t>
      </w:r>
    </w:p>
    <w:p>
      <w:pPr>
        <w:pStyle w:val="Heading2"/>
      </w:pPr>
      <w:r>
        <w:t>10. Related Enterprise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STD-004</w:t>
            </w:r>
          </w:p>
        </w:tc>
        <w:tc>
          <w:tcPr>
            <w:tcW w:type="dxa" w:w="4320"/>
          </w:tcPr>
          <w:p>
            <w:r>
              <w:t>Enterprise Logging Standard</w:t>
            </w:r>
          </w:p>
        </w:tc>
      </w:tr>
      <w:tr>
        <w:tc>
          <w:tcPr>
            <w:tcW w:type="dxa" w:w="4320"/>
          </w:tcPr>
          <w:p>
            <w:r>
              <w:t>STD-005</w:t>
            </w:r>
          </w:p>
        </w:tc>
        <w:tc>
          <w:tcPr>
            <w:tcW w:type="dxa" w:w="4320"/>
          </w:tcPr>
          <w:p>
            <w:r>
              <w:t>Enterprise Evidence Management Standard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