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Enterprise Control Library</w:t>
      </w:r>
    </w:p>
    <w:p>
      <w:r>
        <w:t>Document ID: ECL-001</w:t>
      </w:r>
    </w:p>
    <w:p>
      <w:r>
        <w:t>Version: 2.0</w:t>
      </w:r>
    </w:p>
    <w:p>
      <w:r>
        <w:t>Status: Draft</w:t>
      </w:r>
    </w:p>
    <w:p>
      <w:r>
        <w:t>Purpose: Defines enterprise and technology-oriented audit controls. The AI Audit Planning Engine parses each control statement, determines applicability to discovered technologies, correlates applicable ADRs, and generates a structured audit execution plan.</w:t>
      </w:r>
    </w:p>
    <w:p>
      <w:r>
        <w:rPr>
          <w:b/>
          <w:sz w:val="28"/>
        </w:rPr>
        <w:t>Enterprise Controls</w:t>
      </w:r>
    </w:p>
    <w:p>
      <w:r>
        <w:rPr>
          <w:b/>
          <w:sz w:val="24"/>
        </w:rPr>
        <w:t>CNTR-001 – Database Encryption</w:t>
      </w:r>
    </w:p>
    <w:p>
      <w:r>
        <w:rPr>
          <w:b/>
        </w:rPr>
        <w:t>Control Statement</w:t>
      </w:r>
    </w:p>
    <w:p>
      <w:r>
        <w:t>All production databases shall be encrypted.</w:t>
      </w:r>
    </w:p>
    <w:p>
      <w:r>
        <w:rPr>
          <w:b/>
        </w:rPr>
        <w:t>Control Objective</w:t>
      </w:r>
    </w:p>
    <w:p>
      <w:r>
        <w:t>Protect confidential and regulated information by ensuring enterprise databases are encrypted.</w:t>
      </w:r>
    </w:p>
    <w:p>
      <w:r>
        <w:rPr>
          <w:b/>
        </w:rPr>
        <w:t>Implementation Guidance</w:t>
      </w:r>
    </w:p>
    <w:p>
      <w:r>
        <w:t>Not defined here. The AI Audit Planning Engine interprets the control, determines applicable discovered technologies, correlates authoritative ADRs where available, and generates technology-specific validation objectives and evidence requirements.</w:t>
      </w:r>
    </w:p>
    <w:p>
      <w:r>
        <w:rPr>
          <w:b/>
          <w:sz w:val="24"/>
        </w:rPr>
        <w:t>CNTR-002 – Password Policy</w:t>
      </w:r>
    </w:p>
    <w:p>
      <w:r>
        <w:rPr>
          <w:b/>
        </w:rPr>
        <w:t>Control Statement</w:t>
      </w:r>
    </w:p>
    <w:p>
      <w:r>
        <w:t>All passwords shall be a minimum of eight characters in length.</w:t>
      </w:r>
    </w:p>
    <w:p>
      <w:r>
        <w:rPr>
          <w:b/>
        </w:rPr>
        <w:t>Control Objective</w:t>
      </w:r>
    </w:p>
    <w:p>
      <w:r>
        <w:t>Reduce the risk of weak authentication by enforcing a minimum password length.</w:t>
      </w:r>
    </w:p>
    <w:p>
      <w:r>
        <w:rPr>
          <w:b/>
        </w:rPr>
        <w:t>Implementation Guidance</w:t>
      </w:r>
    </w:p>
    <w:p>
      <w:r>
        <w:t>Not defined here. The AI Audit Planning Engine interprets the control, determines applicable discovered technologies, correlates authoritative ADRs where available, and generates technology-specific validation objectives and evidence requirements.</w:t>
      </w:r>
    </w:p>
    <w:p>
      <w:r>
        <w:rPr>
          <w:b/>
          <w:sz w:val="24"/>
        </w:rPr>
        <w:t>EC-001 – Data at Rest Encryption</w:t>
      </w:r>
    </w:p>
    <w:p>
      <w:r>
        <w:rPr>
          <w:b/>
        </w:rPr>
        <w:t>Control Statement</w:t>
      </w:r>
    </w:p>
    <w:p>
      <w:r>
        <w:t>Data at rest must be encrypted using enterprise-approved encryption mechanisms.</w:t>
      </w:r>
    </w:p>
    <w:p>
      <w:r>
        <w:rPr>
          <w:b/>
        </w:rPr>
        <w:t>Control Objective</w:t>
      </w:r>
    </w:p>
    <w:p>
      <w:r>
        <w:t>Ensure that persistent enterprise data is protected using approved encryption mechanisms appropriate to the underlying technology platform.</w:t>
      </w:r>
    </w:p>
    <w:p>
      <w:r>
        <w:rPr>
          <w:b/>
        </w:rPr>
        <w:t>Implementation Guidance</w:t>
      </w:r>
    </w:p>
    <w:p>
      <w:r>
        <w:t>Not defined here. The AI Audit Planning Engine interprets the control, determines applicable discovered technologies, correlates authoritative ADRs where available, and generates technology-specific validation objectives and evidence requirements.</w:t>
      </w:r>
    </w:p>
    <w:p>
      <w:r>
        <w:rPr>
          <w:b/>
        </w:rPr>
        <w:t>AI Interpretation Note</w:t>
      </w:r>
    </w:p>
    <w:p>
      <w:r>
        <w:t>EC-001 is intentionally technology-agnostic. The AI planner is expected to apply it to persistent data services discovered in the target estate. Deterministic validators, not AI, determine PASS, FAIL, or NOT VERIFIED from collected live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