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Enterprise IAM Controls</w:t>
      </w:r>
    </w:p>
    <w:p>
      <w:r>
        <w:t>MVP enterprise control addendum for Google Cloud IAM. These controls should be approved by the enterprise control owner.</w:t>
      </w:r>
    </w:p>
    <w:p>
      <w:r>
        <w:rPr>
          <w:b/>
          <w:sz w:val="26"/>
        </w:rPr>
        <w:t>CNTR-003 – Public IAM Access</w:t>
      </w:r>
    </w:p>
    <w:p>
      <w:r>
        <w:rPr>
          <w:b/>
        </w:rPr>
        <w:t>Control Statement</w:t>
      </w:r>
    </w:p>
    <w:p>
      <w:r>
        <w:t>No Google Cloud project IAM policy shall grant access to allUsers or allAuthenticatedUsers unless an approved exception has been recorded.</w:t>
      </w:r>
    </w:p>
    <w:p>
      <w:r>
        <w:rPr>
          <w:b/>
        </w:rPr>
        <w:t>Control Objective</w:t>
      </w:r>
    </w:p>
    <w:p>
      <w:r>
        <w:t>Reduce the risk of unauthorised public access by preventing unrestricted IAM principals at project level.</w:t>
      </w:r>
    </w:p>
    <w:p>
      <w:r>
        <w:rPr>
          <w:b/>
          <w:sz w:val="26"/>
        </w:rPr>
        <w:t>CNTR-004 – Service Account Privilege</w:t>
      </w:r>
    </w:p>
    <w:p>
      <w:r>
        <w:rPr>
          <w:b/>
        </w:rPr>
        <w:t>Control Statement</w:t>
      </w:r>
    </w:p>
    <w:p>
      <w:r>
        <w:t>Google Cloud service accounts shall not be assigned the project Owner role.</w:t>
      </w:r>
    </w:p>
    <w:p>
      <w:r>
        <w:rPr>
          <w:b/>
        </w:rPr>
        <w:t>Control Objective</w:t>
      </w:r>
    </w:p>
    <w:p>
      <w:r>
        <w:t>Enforce least privilege for non-human identities and reduce the impact of compromised service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