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Prompt Sensitivity and Its Effect on the Stability of LLM-Generated Research Conclusions</w:t>
      </w:r>
    </w:p>
    <w:p>
      <w:pPr>
        <w:spacing w:after="300"/>
        <w:jc w:val="center"/>
      </w:pPr>
      <w:r>
        <w:rPr>
          <w:i/>
          <w:iCs/>
          <w:color w:val="444444"/>
          <w:sz w:val="22"/>
          <w:szCs w:val="22"/>
        </w:rPr>
        <w:t xml:space="preserve">A Review of Mechanisms, Evidence, and Methodological Implications for Research Reliability</w:t>
      </w:r>
    </w:p>
    <w:p>
      <w:pPr>
        <w:pStyle w:val="Heading2"/>
        <w:spacing w:after="140" w:before="240"/>
      </w:pPr>
      <w:r>
        <w:rPr>
          <w:rFonts w:ascii="Calibri" w:cs="Calibri" w:eastAsia="Calibri" w:hAnsi="Calibri"/>
          <w:b/>
          <w:bCs/>
          <w:color w:val="2E5395"/>
          <w:sz w:val="23"/>
          <w:szCs w:val="23"/>
        </w:rPr>
        <w:t xml:space="preserve">Abstract</w:t>
      </w:r>
    </w:p>
    <w:p>
      <w:pPr>
        <w:spacing w:after="200" w:before="0" w:line="276"/>
        <w:jc w:val="both"/>
      </w:pPr>
      <w:r>
        <w:rPr>
          <w:rFonts w:ascii="Calibri" w:cs="Calibri" w:eastAsia="Calibri" w:hAnsi="Calibri"/>
          <w:sz w:val="22"/>
          <w:szCs w:val="22"/>
        </w:rPr>
        <w:t xml:space="preserve">Large language models (LLMs) are increasingly used as research assistants, summarizers of literature, and even generators of analytic conclusions. Yet the same input meaning, expressed through superficially different prompts, can yield markedly different outputs from these systems — a phenomenon known as prompt sensitivity. This paper synthesizes evidence from the machine learning, natural language processing, and applied social- and physical-science literatures to examine how prompt sensitivity threatens the stability, reproducibility, and epistemic trustworthiness of LLM-generated research conclusions. We review the mechanisms that produce prompt sensitivity, including formatting choices, example ordering, decoding stochasticity, and instruction phrasing; summarize benchmark and case-study evidence quantifying its magnitude; and discuss current mitigation approaches such as FormatSpread, prompt-stability scoring, self-consistency sampling, and interaction-based attribution methods. We then identify open research challenges — including the absence of standardized sensitivity-reporting norms, the entanglement of sensitivity with genuine task ambiguity, and the opacity of proprietary model updates — and propose directions for future work, including standardized robustness reporting, prompt-invariance benchmarks tailored to scientific reasoning tasks, and governance frameworks for LLM-assisted evidence synthesis. We conclude that prompt sensitivity is not a peripheral engineering nuisance but a first-order threat to the validity of LLM-assisted research and should be treated with the same rigor traditionally reserved for measurement reliability in the empirical sciences.</w:t>
      </w:r>
    </w:p>
    <w:p>
      <w:pPr>
        <w:pStyle w:val="Heading2"/>
        <w:spacing w:after="140" w:before="240"/>
      </w:pPr>
      <w:r>
        <w:rPr>
          <w:rFonts w:ascii="Calibri" w:cs="Calibri" w:eastAsia="Calibri" w:hAnsi="Calibri"/>
          <w:b/>
          <w:bCs/>
          <w:color w:val="2E5395"/>
          <w:sz w:val="23"/>
          <w:szCs w:val="23"/>
        </w:rPr>
        <w:t xml:space="preserve">Keywords</w:t>
      </w:r>
    </w:p>
    <w:p>
      <w:pPr>
        <w:spacing w:after="300" w:before="0" w:line="276"/>
        <w:jc w:val="both"/>
      </w:pPr>
      <w:r>
        <w:rPr>
          <w:rFonts w:ascii="Calibri" w:cs="Calibri" w:eastAsia="Calibri" w:hAnsi="Calibri"/>
          <w:sz w:val="22"/>
          <w:szCs w:val="22"/>
        </w:rPr>
        <w:t xml:space="preserve">prompt sensitivity; large language models; reproducibility; research reliability; prompt engineering; robustness; in-context learning; evidence synthesis</w:t>
      </w:r>
    </w:p>
    <w:p>
      <w:pPr>
        <w:pStyle w:val="Heading1"/>
        <w:spacing w:after="180" w:before="360"/>
      </w:pPr>
      <w:r>
        <w:rPr>
          <w:rFonts w:ascii="Calibri" w:cs="Calibri" w:eastAsia="Calibri" w:hAnsi="Calibri"/>
          <w:b/>
          <w:bCs/>
          <w:color w:val="1F3864"/>
          <w:sz w:val="26"/>
          <w:szCs w:val="26"/>
        </w:rPr>
        <w:t xml:space="preserve">1. Introduction</w:t>
      </w:r>
    </w:p>
    <w:p>
      <w:pPr>
        <w:spacing w:after="200" w:before="0" w:line="276"/>
        <w:jc w:val="both"/>
      </w:pPr>
      <w:r>
        <w:rPr>
          <w:rFonts w:ascii="Calibri" w:cs="Calibri" w:eastAsia="Calibri" w:hAnsi="Calibri"/>
          <w:sz w:val="22"/>
          <w:szCs w:val="22"/>
        </w:rPr>
        <w:t xml:space="preserve">The rapid diffusion of large language models (LLMs) into scholarly workflows — literature screening, hypothesis generation, data extraction, statistical interpretation, and even drafting of discussion sections — has made the reliability of LLM outputs a matter of direct scientific concern rather than purely a matter of software quality. A growing body of evidence shows that LLMs are highly sensitive to the precise wording, formatting, and ordering of the prompts used to elicit their responses, even when these variations preserve semantic meaning to a human reader. This phenomenon, generally termed prompt sensitivity or prompt brittleness, has been documented across model families, model sizes, and task types, with reported performance swings of tens of accuracy points attributable to superficial prompt reformulation alone (Sclar et al., 2024).</w:t>
      </w:r>
    </w:p>
    <w:p>
      <w:pPr>
        <w:spacing w:after="200" w:before="0" w:line="276"/>
        <w:jc w:val="both"/>
      </w:pPr>
      <w:r>
        <w:rPr>
          <w:rFonts w:ascii="Calibri" w:cs="Calibri" w:eastAsia="Calibri" w:hAnsi="Calibri"/>
          <w:sz w:val="22"/>
          <w:szCs w:val="22"/>
        </w:rPr>
        <w:t xml:space="preserve">The implications for research use are significant. When an LLM is used to extract findings from a corpus of papers, classify evidence according to inclusion criteria, summarize a literature base, or generate an interpretive conclusion from a dataset, the wording of the prompt becomes, in effect, an uncontrolled variable in the research design. If the model's conclusion changes materially under paraphrase, we cannot be confident that the reported conclusion reflects the underlying evidence rather than an artifact of prompt construction. This concern parallels, but is methodologically distinct from, the discussion in empirical science of measurement reliability and instrument validity: a research "instrument" — here, the LLM under a specific prompt — must produce stable readings under theoretically inconsequential perturbations if its outputs are to be trusted (Barrie, Palaiologou, &amp; Törnberg, 2024).</w:t>
      </w:r>
    </w:p>
    <w:p>
      <w:pPr>
        <w:spacing w:after="200" w:before="0" w:line="276"/>
        <w:jc w:val="both"/>
      </w:pPr>
      <w:r>
        <w:rPr>
          <w:rFonts w:ascii="Calibri" w:cs="Calibri" w:eastAsia="Calibri" w:hAnsi="Calibri"/>
          <w:sz w:val="22"/>
          <w:szCs w:val="22"/>
        </w:rPr>
        <w:t xml:space="preserve">This paper reviews the state of knowledge on prompt sensitivity with a specific focus on its consequences for the stability of research conclusions generated or mediated by LLMs. We organize the discussion around four questions: (1) What mechanisms inside LLMs produce prompt sensitivity? (2) How large is this effect in benchmark and applied research settings? (3) What technical and methodological approaches currently exist to detect, quantify, or mitigate it? and (4) What gaps remain before LLM-assisted research conclusions can be considered reliably reproducible? In addressing these questions we draw on the prompt-robustness literature in machine learning (e.g., Sclar et al., 2024; Zhu, Wang, et al., 2023), applied studies of LLM use in evidence synthesis and social science (e.g., Staudinger et al., 2024; Abdurahman et al., 2025), and domain case studies from clinical and ecological research (e.g., Gougherty &amp; Clipp, 2024; radiology-report classification research reported in PMC, 2025).</w:t>
      </w:r>
    </w:p>
    <w:p>
      <w:pPr>
        <w:pStyle w:val="Heading1"/>
        <w:spacing w:after="180" w:before="360"/>
      </w:pPr>
      <w:r>
        <w:rPr>
          <w:rFonts w:ascii="Calibri" w:cs="Calibri" w:eastAsia="Calibri" w:hAnsi="Calibri"/>
          <w:b/>
          <w:bCs/>
          <w:color w:val="1F3864"/>
          <w:sz w:val="26"/>
          <w:szCs w:val="26"/>
        </w:rPr>
        <w:t xml:space="preserve">2. Background, Related Work, and Literature Review</w:t>
      </w:r>
    </w:p>
    <w:p>
      <w:pPr>
        <w:spacing w:after="200" w:before="0" w:line="276"/>
        <w:jc w:val="both"/>
      </w:pPr>
      <w:r>
        <w:rPr>
          <w:rFonts w:ascii="Calibri" w:cs="Calibri" w:eastAsia="Calibri" w:hAnsi="Calibri"/>
          <w:sz w:val="22"/>
          <w:szCs w:val="22"/>
        </w:rPr>
        <w:t xml:space="preserve">Concern about prompt-dependent instability predates the current generation of instruction-tuned chat models. Early work on in-context learning with GPT-3-class models already showed that few-shot performance could swing from near-chance to near state-of-the-art depending on the order of exemplars, the choice of label words, and the format of the prompt template, a set of failure modes attributed to majority-label bias, recency bias, and common-token bias; the authors proposed a contextual calibration procedure to correct for these systematic biases (Zhao, Wallace, Feng, Klein, &amp; Singh, 2021).</w:t>
      </w:r>
    </w:p>
    <w:p>
      <w:pPr>
        <w:spacing w:after="200" w:before="0" w:line="276"/>
        <w:jc w:val="both"/>
      </w:pPr>
      <w:r>
        <w:rPr>
          <w:rFonts w:ascii="Calibri" w:cs="Calibri" w:eastAsia="Calibri" w:hAnsi="Calibri"/>
          <w:sz w:val="22"/>
          <w:szCs w:val="22"/>
        </w:rPr>
        <w:t xml:space="preserve">As instruction-tuned and chat-optimized LLMs became dominant, researchers extended this line of inquiry from few-shot exemplar selection to the broader space of prompt formatting. Sclar et al. (2024) introduced FormatSpread, an algorithm that samples a large space of plausible, meaning-preserving prompt formats and reports the resulting interval of task performance rather than a single point estimate; across several open-weight LLMs, they observed accuracy differences of up to 76 points attributable purely to formatting choices such as delimiters, casing, and field separators, with sensitivity persisting even as model size, few-shot count, and instruction tuning increased. They further showed that the relative ranking of formats correlates only weakly across different models, undermining the validity of single-format model comparisons.</w:t>
      </w:r>
    </w:p>
    <w:p>
      <w:pPr>
        <w:spacing w:after="200" w:before="0" w:line="276"/>
        <w:jc w:val="both"/>
      </w:pPr>
      <w:r>
        <w:rPr>
          <w:rFonts w:ascii="Calibri" w:cs="Calibri" w:eastAsia="Calibri" w:hAnsi="Calibri"/>
          <w:sz w:val="22"/>
          <w:szCs w:val="22"/>
        </w:rPr>
        <w:t xml:space="preserve">A parallel research thread has focused on adversarial and naturalistic prompt perturbations. Zhu, Wang, and colleagues introduced PromptBench (also referred to as PromptRobust), a benchmark applying character-, word-, sentence-, and semantic-level perturbations — designed to emulate plausible user typos, synonym substitutions, and paraphrases — across eight tasks and thirteen datasets, and found that contemporary LLMs remain vulnerable to such perturbations despite their semantic triviality (Zhu, Wang, Zhou, et al., 2023). A companion library, PromptBench: A Unified Library for Evaluation of Large Language Models, formalized this evaluation protocol for broader community use (Zhu, Zhao, Chen, Wang, &amp; Xie, 2023).</w:t>
      </w:r>
    </w:p>
    <w:p>
      <w:pPr>
        <w:spacing w:after="200" w:before="0" w:line="276"/>
        <w:jc w:val="both"/>
      </w:pPr>
      <w:r>
        <w:rPr>
          <w:rFonts w:ascii="Calibri" w:cs="Calibri" w:eastAsia="Calibri" w:hAnsi="Calibri"/>
          <w:sz w:val="22"/>
          <w:szCs w:val="22"/>
        </w:rPr>
        <w:t xml:space="preserve">More recent work has sought to move beyond simple output-comparison metrics toward mechanistic explanations of prompt sensitivity. Using a first-order Taylor-expansion analysis of LLMs as multivariate functions, one line of theoretical work bounds the change in next-token logits by the product of the model's gradient norm and the distance between prompt embeddings, offering a formal account of why small embedding-space perturbations can produce large output-space changes (Understanding the Prompt Sensitivity, 2026). A separate and independently developed approach introduces a game-theoretic interaction framework that decomposes an LLM's output score into interaction terms among input tokens, allowing researchers to localize which token combinations — rather than merely which surface-level edits — drive sensitivity (Evaluating and Explaining Prompt Sensitivity of LLMs Using Interactions, 2026). Complementing these mechanistic accounts, POSIX proposes a model-agnostic Prompt Sensitivity Index intended to quantify sensitivity independent of downstream task accuracy, addressing the confound between a model's competence on a task and its stability under prompt rewording (POSIX, 2024).</w:t>
      </w:r>
    </w:p>
    <w:p>
      <w:pPr>
        <w:spacing w:after="200" w:before="0" w:line="276"/>
        <w:jc w:val="both"/>
      </w:pPr>
      <w:r>
        <w:rPr>
          <w:rFonts w:ascii="Calibri" w:cs="Calibri" w:eastAsia="Calibri" w:hAnsi="Calibri"/>
          <w:sz w:val="22"/>
          <w:szCs w:val="22"/>
        </w:rPr>
        <w:t xml:space="preserve">Beyond adversarial or formatting-based framings, applied researchers have begun to examine prompt sensitivity directly in the context of scholarly and scientific workflows. Barrie, Palaiologou, and Törnberg (2024) proposed prompt stability scoring, a diagnostic procedure for text-annotation pipelines in the social sciences, arguing that stability is a necessary but not sufficient condition for both accuracy and reproducibility of LLM-based classification. In systematic-review automation, Staudinger, Kusa, Piroi, Lipani, and Hanbury (2024) attempted to reproduce prior LLM-based Boolean query-generation studies and reported mixed replicability, attributing part of the variance to differences in experimental setup concerning prompts, datasets, and baselines. Susnjak (2025) argued that the prevailing practice of manually crafting single prompts for evidence-synthesis tasks is intrinsically fragile and proposed a declarative, test-suite-driven prompt-optimization workflow to improve reproducibility of LLM-assisted systematic literature reviews.</w:t>
      </w:r>
    </w:p>
    <w:p>
      <w:pPr>
        <w:spacing w:after="200" w:before="0" w:line="276"/>
        <w:jc w:val="both"/>
      </w:pPr>
      <w:r>
        <w:rPr>
          <w:rFonts w:ascii="Calibri" w:cs="Calibri" w:eastAsia="Calibri" w:hAnsi="Calibri"/>
          <w:sz w:val="22"/>
          <w:szCs w:val="22"/>
        </w:rPr>
        <w:t xml:space="preserve">Domain-specific case studies corroborate these general findings. In a radiology natural-language-processing study, researchers evaluating prompt and input perturbation sensitivity for classification of radiology reports found that models were relatively robust to moderate input noise but exhibited degraded performance under higher levels of perturbation such as word shuffling, and further observed that identical prompts and decoding parameters could still produce different outputs across cloud regions, implicating infrastructure-level non-determinism as an additional source of instability beyond the prompt text itself (PMC, 2025). In ecology, Gougherty and Clipp (2024) found that an LLM extracted ecological information from primary literature more than fifty times faster than a human reviewer with high accuracy for categorical data, but performed markedly worse on certain quantitative extraction tasks, underscoring that stability and accuracy can diverge across data types within a single research application. At the level of applied social science methodology, Abdurahman, Ziabari, Moore, Bartels, and Dehghani (2025) reviewed evidence that LLM reliability varies widely by task and provider; they cite evidence that some prompted classification tasks achieve high test–retest agreement across days and languages, while cautioning that proprietary models that change silently over time offer no guarantee of long-term reliability, and that anthropomorphizing LLMs as autonomous scientific assistants risks fostering epistemic overconfidence in outputs that are in fact prompt-contingent (Abdurahman et al., 2025, citing related arguments in Messeri &amp; Crockett, 2024).</w:t>
      </w:r>
    </w:p>
    <w:p>
      <w:pPr>
        <w:spacing w:after="200" w:before="0" w:line="276"/>
        <w:jc w:val="both"/>
      </w:pPr>
      <w:r>
        <w:rPr>
          <w:rFonts w:ascii="Calibri" w:cs="Calibri" w:eastAsia="Calibri" w:hAnsi="Calibri"/>
          <w:sz w:val="22"/>
          <w:szCs w:val="22"/>
        </w:rPr>
        <w:t xml:space="preserve">Finally, prompt sensitivity interacts with the broader literature on LLM hallucination, since an unstable prompt-response mapping is one channel through which factually inconsistent or unsupported content — content that contradicts source material (intrinsic hallucination) or is unverifiable against it (extrinsic hallucination) — can enter downstream research summaries (Ji et al., 2023). Robustness to prompt perturbation and resistance to hallucination are therefore best understood as related but distinct components of overall generation reliability.</w:t>
      </w:r>
    </w:p>
    <w:p>
      <w:pPr>
        <w:spacing w:after="200" w:before="0" w:line="276"/>
        <w:jc w:val="both"/>
      </w:pPr>
      <w:r>
        <w:rPr>
          <w:rFonts w:ascii="Calibri" w:cs="Calibri" w:eastAsia="Calibri" w:hAnsi="Calibri"/>
          <w:sz w:val="22"/>
          <w:szCs w:val="22"/>
        </w:rPr>
        <w:t xml:space="preserve">Table 1 summarizes representative quantitative findings drawn from this literature, illustrating both the magnitude of prompt sensitivity reported in general-purpose benchmarks and its variable expression across applied research domains.</w:t>
      </w:r>
    </w:p>
    <w:p>
      <w:pPr>
        <w:spacing w:after="260" w:before="100"/>
        <w:jc w:val="center"/>
      </w:pPr>
      <w:r>
        <w:rPr>
          <w:rFonts w:ascii="Calibri" w:cs="Calibri" w:eastAsia="Calibri" w:hAnsi="Calibri"/>
          <w:b/>
          <w:bCs/>
          <w:i/>
          <w:iCs/>
          <w:color w:val="333333"/>
          <w:sz w:val="20"/>
          <w:szCs w:val="20"/>
        </w:rPr>
        <w:t xml:space="preserve">Table 1. Selected quantitative findings on prompt sensitivity relevant to LLM-assisted research.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3000"/>
      </w:tblGrid>
      <w:tr>
        <w:trPr>
          <w:tblHeader/>
        </w:trPr>
        <w:tc>
          <w:tcPr>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Study / Source</w:t>
            </w:r>
          </w:p>
        </w:tc>
        <w:tc>
          <w:tcPr>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Domain or Task</w:t>
            </w:r>
          </w:p>
        </w:tc>
        <w:tc>
          <w:tcPr>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Perturbation Examined</w:t>
            </w:r>
          </w:p>
        </w:tc>
        <w:tc>
          <w:tcPr>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Key Reported Finding</w:t>
            </w:r>
          </w:p>
        </w:tc>
      </w:tr>
      <w:tr>
        <w:tc>
          <w:tcP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Sclar et al. (2024)</w:t>
            </w:r>
          </w:p>
        </w:tc>
        <w:tc>
          <w:tcP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General NLP benchmarks (LLaMA-2 family)</w:t>
            </w:r>
          </w:p>
        </w:tc>
        <w:tc>
          <w:tcP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Prompt formatting: delimiters, casing, spacing</w:t>
            </w:r>
          </w:p>
        </w:tc>
        <w:tc>
          <w:tcP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Accuracy varied by up to 76 points across plausible formats for LLaMA-2-13B; sensitivity persisted across model size and instruction tuning</w:t>
            </w:r>
          </w:p>
        </w:tc>
      </w:tr>
      <w:tr>
        <w:tc>
          <w:tcPr>
            <w:shd w:fill="EEF3FB" w:color="auto" w:val="clea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Zhu, Wang, Zhou et al. (2023) — PromptBench</w:t>
            </w:r>
          </w:p>
        </w:tc>
        <w:tc>
          <w:tcPr>
            <w:shd w:fill="EEF3FB" w:color="auto" w:val="clea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8 task types / 13 datasets</w:t>
            </w:r>
          </w:p>
        </w:tc>
        <w:tc>
          <w:tcPr>
            <w:shd w:fill="EEF3FB" w:color="auto" w:val="clea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Character-, word-, sentence-, and semantic-level adversarial edits</w:t>
            </w:r>
          </w:p>
        </w:tc>
        <w:tc>
          <w:tcPr>
            <w:shd w:fill="EEF3FB" w:color="auto" w:val="clea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Contemporary LLMs vulnerable across all four perturbation levels; thousands of adversarial prompts evaluated to confirm pervasive fragility</w:t>
            </w:r>
          </w:p>
        </w:tc>
      </w:tr>
      <w:tr>
        <w:tc>
          <w:tcP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Abdurahman et al. (2025), citing Rathje et al.</w:t>
            </w:r>
          </w:p>
        </w:tc>
        <w:tc>
          <w:tcP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Cross-language prompted text classification</w:t>
            </w:r>
          </w:p>
        </w:tc>
        <w:tc>
          <w:tcP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Prompt translation across languages; repetition one day apart</w:t>
            </w:r>
          </w:p>
        </w:tc>
        <w:tc>
          <w:tcP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Cohen's kappa above .90 reported in some cases, showing that stability can be high for well-specified tasks</w:t>
            </w:r>
          </w:p>
        </w:tc>
      </w:tr>
      <w:tr>
        <w:tc>
          <w:tcPr>
            <w:shd w:fill="EEF3FB" w:color="auto" w:val="clea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Radiology report classification study (PMC, 2025)</w:t>
            </w:r>
          </w:p>
        </w:tc>
        <w:tc>
          <w:tcPr>
            <w:shd w:fill="EEF3FB" w:color="auto" w:val="clea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Clinical text classification (pulmonary embolism reports)</w:t>
            </w:r>
          </w:p>
        </w:tc>
        <w:tc>
          <w:tcPr>
            <w:shd w:fill="EEF3FB" w:color="auto" w:val="clea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Word shuffling / input noise; cross-region API deployment</w:t>
            </w:r>
          </w:p>
        </w:tc>
        <w:tc>
          <w:tcPr>
            <w:shd w:fill="EEF3FB" w:color="auto" w:val="clea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Relative robustness to moderate noise; degradation at high perturbation; output varied by cloud region despite fixed seed and temperature</w:t>
            </w:r>
          </w:p>
        </w:tc>
      </w:tr>
      <w:tr>
        <w:tc>
          <w:tcP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Gougherty &amp; Clipp (2024)</w:t>
            </w:r>
          </w:p>
        </w:tc>
        <w:tc>
          <w:tcP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Ecological literature data extraction</w:t>
            </w:r>
          </w:p>
        </w:tc>
        <w:tc>
          <w:tcP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Task-type variation: categorical vs. quantitative data</w:t>
            </w:r>
          </w:p>
        </w:tc>
        <w:tc>
          <w:tcPr>
            <w:tcMar>
              <w:top w:type="dxa" w:w="90"/>
              <w:left w:type="dxa" w:w="120"/>
              <w:bottom w:type="dxa" w:w="90"/>
              <w:right w:type="dxa" w:w="120"/>
            </w:tcMar>
            <w:vAlign w:val="center"/>
          </w:tcPr>
          <w:p>
            <w:pPr>
              <w:spacing w:line="240"/>
              <w:jc w:val="left"/>
            </w:pPr>
            <w:r>
              <w:rPr>
                <w:rFonts w:ascii="Calibri" w:cs="Calibri" w:eastAsia="Calibri" w:hAnsi="Calibri"/>
                <w:sz w:val="19"/>
                <w:szCs w:val="19"/>
              </w:rPr>
              <w:t xml:space="preserve">&gt;90% accuracy extracting categorical data; markedly weaker and less stable performance on quantitative extraction</w:t>
            </w:r>
          </w:p>
        </w:tc>
      </w:tr>
    </w:tbl>
    <w:p>
      <w:pPr>
        <w:spacing w:after="260"/>
      </w:pPr>
    </w:p>
    <w:p>
      <w:pPr>
        <w:pStyle w:val="Heading1"/>
        <w:spacing w:after="180" w:before="360"/>
      </w:pPr>
      <w:r>
        <w:rPr>
          <w:rFonts w:ascii="Calibri" w:cs="Calibri" w:eastAsia="Calibri" w:hAnsi="Calibri"/>
          <w:b/>
          <w:bCs/>
          <w:color w:val="1F3864"/>
          <w:sz w:val="26"/>
          <w:szCs w:val="26"/>
        </w:rPr>
        <w:t xml:space="preserve">3. Main Thematic and Technical Discussion</w:t>
      </w:r>
    </w:p>
    <w:p>
      <w:pPr>
        <w:pStyle w:val="Heading2"/>
        <w:spacing w:after="140" w:before="240"/>
      </w:pPr>
      <w:r>
        <w:rPr>
          <w:rFonts w:ascii="Calibri" w:cs="Calibri" w:eastAsia="Calibri" w:hAnsi="Calibri"/>
          <w:b/>
          <w:bCs/>
          <w:color w:val="2E5395"/>
          <w:sz w:val="23"/>
          <w:szCs w:val="23"/>
        </w:rPr>
        <w:t xml:space="preserve">3.1 Defining Prompt Sensitivity and Distinguishing It from Related Concepts</w:t>
      </w:r>
    </w:p>
    <w:p>
      <w:pPr>
        <w:spacing w:after="200" w:before="0" w:line="276"/>
        <w:jc w:val="both"/>
      </w:pPr>
      <w:r>
        <w:rPr>
          <w:rFonts w:ascii="Calibri" w:cs="Calibri" w:eastAsia="Calibri" w:hAnsi="Calibri"/>
          <w:sz w:val="22"/>
          <w:szCs w:val="22"/>
        </w:rPr>
        <w:t xml:space="preserve">Prompt sensitivity refers to the degree to which an LLM's output changes in response to variations in prompt surface form that are not intended to change the task or its correct answer (Sclar et al., 2024; POSIX, 2024). It should be distinguished from three related but conceptually separate phenomena. First, task ambiguity occurs when a prompt is genuinely underspecified, such that multiple outputs are defensible; instability here reflects a property of the task specification rather than the model. Second, decoding stochasticity arises from sampling temperature and nucleus/top-k truncation during generation; even a fixed prompt can yield different completions across runs, and evidence indicates that some variability persists even at a temperature of zero for certain commercial APIs, a residual non-determinism attributed to factors such as floating-point non-associativity, load balancing, or backend batching effects (Are Humans as Brittle as Large Language Models?, 2025; PMC, 2025). Third, model drift refers to changes in outputs over time due to silent updates to a proprietary model, independent of any prompt change (Abdurahman et al., 2025). Prompt sensitivity proper is the residual instability that remains once ambiguity, sampling stochasticity, and drift are accounted for — that is, variation attributable specifically to meaning-preserving changes in prompt wording, formatting, structure, or example composition.</w:t>
      </w:r>
    </w:p>
    <w:p>
      <w:pPr>
        <w:pStyle w:val="Heading2"/>
        <w:spacing w:after="140" w:before="240"/>
      </w:pPr>
      <w:r>
        <w:rPr>
          <w:rFonts w:ascii="Calibri" w:cs="Calibri" w:eastAsia="Calibri" w:hAnsi="Calibri"/>
          <w:b/>
          <w:bCs/>
          <w:color w:val="2E5395"/>
          <w:sz w:val="23"/>
          <w:szCs w:val="23"/>
        </w:rPr>
        <w:t xml:space="preserve">3.2 Mechanisms Producing Prompt Sensitivity</w:t>
      </w:r>
    </w:p>
    <w:p>
      <w:pPr>
        <w:spacing w:after="200" w:before="0" w:line="276"/>
        <w:jc w:val="both"/>
      </w:pPr>
      <w:r>
        <w:rPr>
          <w:rFonts w:ascii="Calibri" w:cs="Calibri" w:eastAsia="Calibri" w:hAnsi="Calibri"/>
          <w:sz w:val="22"/>
          <w:szCs w:val="22"/>
        </w:rPr>
        <w:t xml:space="preserve">Several interacting mechanisms have been proposed to explain why LLMs exhibit this instability.</w:t>
      </w:r>
    </w:p>
    <w:p>
      <w:pPr>
        <w:spacing w:after="200" w:before="0" w:line="276"/>
        <w:jc w:val="both"/>
      </w:pPr>
      <w:r>
        <w:rPr>
          <w:rFonts w:ascii="Calibri" w:cs="Calibri" w:eastAsia="Calibri" w:hAnsi="Calibri"/>
          <w:b/>
          <w:bCs/>
          <w:sz w:val="22"/>
          <w:szCs w:val="22"/>
        </w:rPr>
        <w:t xml:space="preserve">Surface formatting effects. </w:t>
      </w:r>
      <w:r>
        <w:rPr>
          <w:rFonts w:ascii="Calibri" w:cs="Calibri" w:eastAsia="Calibri" w:hAnsi="Calibri"/>
          <w:sz w:val="22"/>
          <w:szCs w:val="22"/>
        </w:rPr>
        <w:t xml:space="preserve">Delimiter choice, field ordering, casing, and whitespace can shift a prompt's tokenization and its distributional similarity to patterns seen during pretraining and instruction tuning, altering the effective in-context distribution the model conditions on (Sclar et al., 2024).</w:t>
      </w:r>
    </w:p>
    <w:p>
      <w:pPr>
        <w:spacing w:after="200" w:before="0" w:line="276"/>
        <w:jc w:val="both"/>
      </w:pPr>
      <w:r>
        <w:rPr>
          <w:rFonts w:ascii="Calibri" w:cs="Calibri" w:eastAsia="Calibri" w:hAnsi="Calibri"/>
          <w:b/>
          <w:bCs/>
          <w:sz w:val="22"/>
          <w:szCs w:val="22"/>
        </w:rPr>
        <w:t xml:space="preserve">Exemplar order and label bias. </w:t>
      </w:r>
      <w:r>
        <w:rPr>
          <w:rFonts w:ascii="Calibri" w:cs="Calibri" w:eastAsia="Calibri" w:hAnsi="Calibri"/>
          <w:sz w:val="22"/>
          <w:szCs w:val="22"/>
        </w:rPr>
        <w:t xml:space="preserve">In few-shot settings, the order and label distribution of exemplars bias the model toward majority, recency, or high pretraining-frequency answers, independent of the exemplars' informativeness (Zhao et al., 2021).</w:t>
      </w:r>
    </w:p>
    <w:p>
      <w:pPr>
        <w:spacing w:after="200" w:before="0" w:line="276"/>
        <w:jc w:val="both"/>
      </w:pPr>
      <w:r>
        <w:rPr>
          <w:rFonts w:ascii="Calibri" w:cs="Calibri" w:eastAsia="Calibri" w:hAnsi="Calibri"/>
          <w:b/>
          <w:bCs/>
          <w:sz w:val="22"/>
          <w:szCs w:val="22"/>
        </w:rPr>
        <w:t xml:space="preserve">Token-level interaction effects. </w:t>
      </w:r>
      <w:r>
        <w:rPr>
          <w:rFonts w:ascii="Calibri" w:cs="Calibri" w:eastAsia="Calibri" w:hAnsi="Calibri"/>
          <w:sz w:val="22"/>
          <w:szCs w:val="22"/>
        </w:rPr>
        <w:t xml:space="preserve">Fine-grained decomposition of a model's output score into interaction terms among subsets of input tokens shows that sensitivity is often driven by nonlinear combinations of a small number of tokens rather than uniformly distributed across the prompt, meaning that seemingly minor edits can disproportionately perturb specific interaction terms (Evaluating and Explaining Prompt Sensitivity of LLMs Using Interactions, 2026).</w:t>
      </w:r>
    </w:p>
    <w:p>
      <w:pPr>
        <w:spacing w:after="200" w:before="0" w:line="276"/>
        <w:jc w:val="both"/>
      </w:pPr>
      <w:r>
        <w:rPr>
          <w:rFonts w:ascii="Calibri" w:cs="Calibri" w:eastAsia="Calibri" w:hAnsi="Calibri"/>
          <w:b/>
          <w:bCs/>
          <w:sz w:val="22"/>
          <w:szCs w:val="22"/>
        </w:rPr>
        <w:t xml:space="preserve">Embedding-space geometry. </w:t>
      </w:r>
      <w:r>
        <w:rPr>
          <w:rFonts w:ascii="Calibri" w:cs="Calibri" w:eastAsia="Calibri" w:hAnsi="Calibri"/>
          <w:sz w:val="22"/>
          <w:szCs w:val="22"/>
        </w:rPr>
        <w:t xml:space="preserve">Treating the LLM as a multivariate function and applying a first-order Taylor expansion around a prompt embedding shows, via a Cauchy–Schwarz bound, that the change in next-token logits is bounded by the product of the local gradient norm and the embedding distance between prompt variants; regions of high local gradient norm correspond to regions of high sensitivity (Understanding the Prompt Sensitivity, 2026).</w:t>
      </w:r>
    </w:p>
    <w:p>
      <w:pPr>
        <w:spacing w:after="200" w:before="0" w:line="276"/>
        <w:jc w:val="both"/>
      </w:pPr>
      <w:r>
        <w:rPr>
          <w:rFonts w:ascii="Calibri" w:cs="Calibri" w:eastAsia="Calibri" w:hAnsi="Calibri"/>
          <w:b/>
          <w:bCs/>
          <w:sz w:val="22"/>
          <w:szCs w:val="22"/>
        </w:rPr>
        <w:t xml:space="preserve">Decoding and infrastructural non-determinism. </w:t>
      </w:r>
      <w:r>
        <w:rPr>
          <w:rFonts w:ascii="Calibri" w:cs="Calibri" w:eastAsia="Calibri" w:hAnsi="Calibri"/>
          <w:sz w:val="22"/>
          <w:szCs w:val="22"/>
        </w:rPr>
        <w:t xml:space="preserve">Even when the prompt and sampling parameters are held fixed, differences in backend serving infrastructure (e.g., model replica selection, asynchronous updates, regional deployment) have been observed to alter outputs for at least one major commercial model, compounding prompt-induced variance with a separate, infrastructure-induced variance component (PMC, 2025).</w:t>
      </w:r>
    </w:p>
    <w:p>
      <w:pPr>
        <w:spacing w:after="60" w:before="180"/>
        <w:jc w:val="center"/>
      </w:pPr>
      <w:r>
        <w:drawing>
          <wp:inline distT="0" distB="0" distL="0" distR="0">
            <wp:extent cx="4762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200400"/>
                    </a:xfrm>
                    <a:prstGeom prst="rect">
                      <a:avLst/>
                    </a:prstGeom>
                  </pic:spPr>
                </pic:pic>
              </a:graphicData>
            </a:graphic>
          </wp:inline>
        </w:drawing>
      </w:r>
    </w:p>
    <w:p>
      <w:pPr>
        <w:spacing w:after="260" w:before="100"/>
        <w:jc w:val="center"/>
      </w:pPr>
      <w:r>
        <w:rPr>
          <w:rFonts w:ascii="Calibri" w:cs="Calibri" w:eastAsia="Calibri" w:hAnsi="Calibri"/>
          <w:b/>
          <w:bCs/>
          <w:i/>
          <w:iCs/>
          <w:color w:val="333333"/>
          <w:sz w:val="20"/>
          <w:szCs w:val="20"/>
        </w:rPr>
        <w:t xml:space="preserve">Figure 1. Conceptual pathway from prompt-level perturbations, through LLM output variance, to instability in LLM-generated research conclusions.</w:t>
      </w:r>
    </w:p>
    <w:p>
      <w:pPr>
        <w:spacing w:after="200" w:before="0" w:line="276"/>
        <w:jc w:val="both"/>
      </w:pPr>
      <w:r>
        <w:rPr>
          <w:rFonts w:ascii="Calibri" w:cs="Calibri" w:eastAsia="Calibri" w:hAnsi="Calibri"/>
          <w:sz w:val="22"/>
          <w:szCs w:val="22"/>
        </w:rPr>
        <w:t xml:space="preserve">Figure 1 summarizes how the mechanisms described above converge into a single locus of output variance and then propagate into research-pipeline effects, which are discussed further in Section 3.4.</w:t>
      </w:r>
    </w:p>
    <w:p>
      <w:pPr>
        <w:pStyle w:val="Heading2"/>
        <w:spacing w:after="140" w:before="240"/>
      </w:pPr>
      <w:r>
        <w:rPr>
          <w:rFonts w:ascii="Calibri" w:cs="Calibri" w:eastAsia="Calibri" w:hAnsi="Calibri"/>
          <w:b/>
          <w:bCs/>
          <w:color w:val="2E5395"/>
          <w:sz w:val="23"/>
          <w:szCs w:val="23"/>
        </w:rPr>
        <w:t xml:space="preserve">3.3 Quantified Evidence of Instability</w:t>
      </w:r>
    </w:p>
    <w:p>
      <w:pPr>
        <w:spacing w:after="200" w:before="0" w:line="276"/>
        <w:jc w:val="both"/>
      </w:pPr>
      <w:r>
        <w:rPr>
          <w:rFonts w:ascii="Calibri" w:cs="Calibri" w:eastAsia="Calibri" w:hAnsi="Calibri"/>
          <w:sz w:val="22"/>
          <w:szCs w:val="22"/>
        </w:rPr>
        <w:t xml:space="preserve">The magnitude of prompt sensitivity reported in the literature is substantial. Sclar et al. (2024) documented performance swings of up to 76 accuracy points for LLaMA-2-13B across plausible prompt formats on standard benchmark tasks, with sensitivity persisting across model scale and instruction tuning; critically, they found that formats which perform well for one model correlate only weakly with formats that perform well for another, which challenges any research practice of comparing models using a single, arbitrarily chosen prompt template. PromptBench-style adversarial evaluation across eight task types and thirteen datasets similarly found pervasive vulnerability to character-, word-, sentence-, and semantic-level perturbations designed to resemble plausible user input variation rather than deliberately malicious attacks (Zhu, Wang, Zhou, et al., 2023). At the same time, not all findings point toward instability: Abdurahman et al. (2025) note evidence of a Cohen's kappa above .90 when the same classification prompt was queried a day apart and in different languages, suggesting that stability is task- and model-dependent rather than a uniform property of all LLM applications. Reconciling these findings, the balance of evidence summarized in Table 1 suggests that prompt sensitivity is neither universal nor negligible: it is concentrated in tasks requiring precise reasoning, multi-step inference, or classification near a decision boundary, and is comparatively muted for simpler, well-specified tasks with strong lexical cues.</w:t>
      </w:r>
    </w:p>
    <w:p>
      <w:pPr>
        <w:pStyle w:val="Heading2"/>
        <w:spacing w:after="140" w:before="240"/>
      </w:pPr>
      <w:r>
        <w:rPr>
          <w:rFonts w:ascii="Calibri" w:cs="Calibri" w:eastAsia="Calibri" w:hAnsi="Calibri"/>
          <w:b/>
          <w:bCs/>
          <w:color w:val="2E5395"/>
          <w:sz w:val="23"/>
          <w:szCs w:val="23"/>
        </w:rPr>
        <w:t xml:space="preserve">3.4 From Output Instability to Research-Conclusion Instability</w:t>
      </w:r>
    </w:p>
    <w:p>
      <w:pPr>
        <w:spacing w:after="200" w:before="0" w:line="276"/>
        <w:jc w:val="both"/>
      </w:pPr>
      <w:r>
        <w:rPr>
          <w:rFonts w:ascii="Calibri" w:cs="Calibri" w:eastAsia="Calibri" w:hAnsi="Calibri"/>
          <w:sz w:val="22"/>
          <w:szCs w:val="22"/>
        </w:rPr>
        <w:t xml:space="preserve">The step from documented output instability on benchmark tasks to instability of research conclusions is not merely definitional; it concerns how LLM outputs are aggregated into scholarly claims. In LLM-assisted evidence synthesis, a single classification decision (e.g., include or exclude a study) or a single extracted data point (e.g., an effect size or ecological observation) is rarely consequential in isolation; the concern is that systematic, prompt-driven bias in many such decisions can shift an aggregate finding — such as an estimated proportion of eligible studies, a synthesized effect size, or a qualitative thematic summary — in a consistent direction. Staudinger et al. (2024) illustrate this at the level of an entire research pipeline: attempts to reproduce prior LLM-based query-generation studies for systematic reviews yielded only partial replicability once prompts, models, and experimental setup were varied, meaning that a conclusion about "how well LLMs generate search queries" was itself sensitive to prompt-level choices made by the original investigators. Susnjak (2025) frames this as a structural problem of "crafting" versus "compiling" prompts: ad hoc, hand-tuned prompts for evidence-synthesis tasks embed undocumented researcher degrees of freedom that are functionally analogous to undisclosed analytic flexibility in traditional statistical research, a concern with a well-established parallel in the reproducibility literature on researcher degrees of freedom in conventional empirical analysis.</w:t>
      </w:r>
    </w:p>
    <w:p>
      <w:pPr>
        <w:spacing w:after="200" w:before="0" w:line="276"/>
        <w:jc w:val="both"/>
      </w:pPr>
      <w:r>
        <w:rPr>
          <w:rFonts w:ascii="Calibri" w:cs="Calibri" w:eastAsia="Calibri" w:hAnsi="Calibri"/>
          <w:sz w:val="22"/>
          <w:szCs w:val="22"/>
        </w:rPr>
        <w:t xml:space="preserve">Prompt sensitivity therefore threatens research-conclusion stability through at least three pathways, illustrated schematically in Figure 1. The first is direct output variance, where paraphrased prompts elicit substantively different conclusions from the same underlying evidence. The second is selection-stage bias, where prompt-sensitive inclusion/exclusion or classification decisions systematically over- or under-represent certain evidence in a downstream synthesis, biasing the aggregate conclusion even if no individual error is severe (PNAS, 2025; Staudinger et al., 2024). The third is unacknowledged researcher degrees of freedom, where the specific prompt used is under-documented or under-justified in a manuscript, making the reported conclusion difficult for other researchers to verify or reproduce (Susnjak, 2025; Barrie et al., 2024).</w:t>
      </w:r>
    </w:p>
    <w:p>
      <w:pPr>
        <w:pStyle w:val="Heading1"/>
        <w:spacing w:after="180" w:before="360"/>
      </w:pPr>
      <w:r>
        <w:rPr>
          <w:rFonts w:ascii="Calibri" w:cs="Calibri" w:eastAsia="Calibri" w:hAnsi="Calibri"/>
          <w:b/>
          <w:bCs/>
          <w:color w:val="1F3864"/>
          <w:sz w:val="26"/>
          <w:szCs w:val="26"/>
        </w:rPr>
        <w:t xml:space="preserve">4. Current Approaches and Developments</w:t>
      </w:r>
    </w:p>
    <w:p>
      <w:pPr>
        <w:spacing w:after="200" w:before="0" w:line="276"/>
        <w:jc w:val="both"/>
      </w:pPr>
      <w:r>
        <w:rPr>
          <w:rFonts w:ascii="Calibri" w:cs="Calibri" w:eastAsia="Calibri" w:hAnsi="Calibri"/>
          <w:sz w:val="22"/>
          <w:szCs w:val="22"/>
        </w:rPr>
        <w:t xml:space="preserve">A range of technical and methodological responses have emerged to detect, quantify, or reduce prompt sensitivity in research contexts.</w:t>
      </w:r>
    </w:p>
    <w:p>
      <w:pPr>
        <w:pStyle w:val="Heading2"/>
        <w:spacing w:after="140" w:before="240"/>
      </w:pPr>
      <w:r>
        <w:rPr>
          <w:rFonts w:ascii="Calibri" w:cs="Calibri" w:eastAsia="Calibri" w:hAnsi="Calibri"/>
          <w:b/>
          <w:bCs/>
          <w:color w:val="2E5395"/>
          <w:sz w:val="23"/>
          <w:szCs w:val="23"/>
        </w:rPr>
        <w:t xml:space="preserve">4.1 Sensitivity Measurement and Reporting Tools</w:t>
      </w:r>
    </w:p>
    <w:p>
      <w:pPr>
        <w:spacing w:after="200" w:before="0" w:line="276"/>
        <w:jc w:val="both"/>
      </w:pPr>
      <w:r>
        <w:rPr>
          <w:rFonts w:ascii="Calibri" w:cs="Calibri" w:eastAsia="Calibri" w:hAnsi="Calibri"/>
          <w:sz w:val="22"/>
          <w:szCs w:val="22"/>
        </w:rPr>
        <w:t xml:space="preserve">FormatSpread operationalizes sensitivity measurement by sampling many plausible prompt formats and reporting a performance interval rather than a point estimate, without requiring access to model weights (Sclar et al., 2024). POSIX proposes a standardized, task-accuracy-independent sensitivity index intended to enable direct comparison of sensitivity across models and prompt types (POSIX, 2024). Prompt stability scoring, developed specifically for text-annotation pipelines common in computational social science, offers a diagnostic workflow researchers can run before deploying an LLM-based classifier at scale, treating stability as an analog to inter-rater reliability checks in traditional content analysis (Barrie et al., 2024).</w:t>
      </w:r>
    </w:p>
    <w:p>
      <w:pPr>
        <w:pStyle w:val="Heading2"/>
        <w:spacing w:after="140" w:before="240"/>
      </w:pPr>
      <w:r>
        <w:rPr>
          <w:rFonts w:ascii="Calibri" w:cs="Calibri" w:eastAsia="Calibri" w:hAnsi="Calibri"/>
          <w:b/>
          <w:bCs/>
          <w:color w:val="2E5395"/>
          <w:sz w:val="23"/>
          <w:szCs w:val="23"/>
        </w:rPr>
        <w:t xml:space="preserve">4.2 Robustness Benchmarks</w:t>
      </w:r>
    </w:p>
    <w:p>
      <w:pPr>
        <w:spacing w:after="200" w:before="0" w:line="276"/>
        <w:jc w:val="both"/>
      </w:pPr>
      <w:r>
        <w:rPr>
          <w:rFonts w:ascii="Calibri" w:cs="Calibri" w:eastAsia="Calibri" w:hAnsi="Calibri"/>
          <w:sz w:val="22"/>
          <w:szCs w:val="22"/>
        </w:rPr>
        <w:t xml:space="preserve">PromptBench and its associated unified evaluation library provide standardized adversarial and naturalistic perturbation suites spanning character-, word-, sentence-, and semantic-level edits across multiple task types, enabling systematic, comparable robustness evaluation across models (Zhu, Wang, Zhou, et al., 2023; Zhu, Zhao, Chen, Wang, &amp; Xie, 2023). Related benchmarking efforts have extended this paradigm to long-context and multilingual robustness, and to domain-specific settings such as radiology report classification, where perturbation and cross-region deployment testing revealed both prompt- and infrastructure-level sources of instability (PMC, 2025).</w:t>
      </w:r>
    </w:p>
    <w:p>
      <w:pPr>
        <w:pStyle w:val="Heading2"/>
        <w:spacing w:after="140" w:before="240"/>
      </w:pPr>
      <w:r>
        <w:rPr>
          <w:rFonts w:ascii="Calibri" w:cs="Calibri" w:eastAsia="Calibri" w:hAnsi="Calibri"/>
          <w:b/>
          <w:bCs/>
          <w:color w:val="2E5395"/>
          <w:sz w:val="23"/>
          <w:szCs w:val="23"/>
        </w:rPr>
        <w:t xml:space="preserve">4.3 Inference-Time Mitigation Strategies</w:t>
      </w:r>
    </w:p>
    <w:p>
      <w:pPr>
        <w:spacing w:after="200" w:before="0" w:line="276"/>
        <w:jc w:val="both"/>
      </w:pPr>
      <w:r>
        <w:rPr>
          <w:rFonts w:ascii="Calibri" w:cs="Calibri" w:eastAsia="Calibri" w:hAnsi="Calibri"/>
          <w:sz w:val="22"/>
          <w:szCs w:val="22"/>
        </w:rPr>
        <w:t xml:space="preserve">Several inference-time techniques reduce output variance without modifying model weights. Contextual calibration corrects for systematic label, recency, and frequency biases in few-shot prompts by normalizing predictions against a content-free input (Zhao et al., 2021). Self-consistency sampling generates multiple independent chain-of-thought reasoning paths for the same prompt and aggregates them via majority vote, substantially improving both accuracy and stability on arithmetic and commonsense reasoning benchmarks relative to single-path greedy decoding (Wang et al., 2022). This builds on chain-of-thought prompting, which elicits intermediate reasoning steps and has itself been shown to improve — though not eliminate — robustness of complex multi-step reasoning outputs relative to direct-answer prompting (Wei et al., 2022). These techniques mitigate certain sources of instability (particularly decoding stochasticity and single-path reasoning errors) but do not directly address formatting- or wording-induced sensitivity, since self-consistency still conditions on a single prompt formulation.</w:t>
      </w:r>
    </w:p>
    <w:p>
      <w:pPr>
        <w:pStyle w:val="Heading2"/>
        <w:spacing w:after="140" w:before="240"/>
      </w:pPr>
      <w:r>
        <w:rPr>
          <w:rFonts w:ascii="Calibri" w:cs="Calibri" w:eastAsia="Calibri" w:hAnsi="Calibri"/>
          <w:b/>
          <w:bCs/>
          <w:color w:val="2E5395"/>
          <w:sz w:val="23"/>
          <w:szCs w:val="23"/>
        </w:rPr>
        <w:t xml:space="preserve">4.4 Mechanistic and Explanatory Approaches</w:t>
      </w:r>
    </w:p>
    <w:p>
      <w:pPr>
        <w:spacing w:after="200" w:before="0" w:line="276"/>
        <w:jc w:val="both"/>
      </w:pPr>
      <w:r>
        <w:rPr>
          <w:rFonts w:ascii="Calibri" w:cs="Calibri" w:eastAsia="Calibri" w:hAnsi="Calibri"/>
          <w:sz w:val="22"/>
          <w:szCs w:val="22"/>
        </w:rPr>
        <w:t xml:space="preserve">Beyond measurement and mitigation, recent theoretical work aims to explain why sensitivity occurs, which is a prerequisite for principled mitigation. The Taylor-expansion, gradient-norm bound on logit differences offers a formal account linking prompt-embedding distance to output change, in principle allowing identification of prompts that lie in high-sensitivity regions of embedding space before deployment (Understanding the Prompt Sensitivity, 2026). The interaction-decomposition framework offers token-level attribution of sensitivity, moving evaluation beyond coarse input–output comparison toward diagnosing which specific token combinations are responsible for instability, which could inform more targeted prompt-hardening strategies than blanket paraphrase-averaging (Evaluating and Explaining Prompt Sensitivity of LLMs Using Interactions, 2026).</w:t>
      </w:r>
    </w:p>
    <w:p>
      <w:pPr>
        <w:pStyle w:val="Heading2"/>
        <w:spacing w:after="140" w:before="240"/>
      </w:pPr>
      <w:r>
        <w:rPr>
          <w:rFonts w:ascii="Calibri" w:cs="Calibri" w:eastAsia="Calibri" w:hAnsi="Calibri"/>
          <w:b/>
          <w:bCs/>
          <w:color w:val="2E5395"/>
          <w:sz w:val="23"/>
          <w:szCs w:val="23"/>
        </w:rPr>
        <w:t xml:space="preserve">4.5 Workflow-Level and Governance Approaches</w:t>
      </w:r>
    </w:p>
    <w:p>
      <w:pPr>
        <w:spacing w:after="200" w:before="0" w:line="276"/>
        <w:jc w:val="both"/>
      </w:pPr>
      <w:r>
        <w:rPr>
          <w:rFonts w:ascii="Calibri" w:cs="Calibri" w:eastAsia="Calibri" w:hAnsi="Calibri"/>
          <w:sz w:val="22"/>
          <w:szCs w:val="22"/>
        </w:rPr>
        <w:t xml:space="preserve">At the level of research workflows rather than individual prompts, Susnjak (2025) proposes a declarative prompt-compilation workflow, embedding task declarations and automated test suites into systematic review pipelines so that prompt configurations are optimized and validated against held-out criteria rather than hand-tuned once and reused. Complementary efforts in the systematic-review-automation literature emphasize iteratively refining inclusion/exclusion criteria with LLM support prior to full-scale screening, which can improve the interplay between criteria specification and model performance (PNAS, 2025). Applied methodological guidance in the social sciences additionally recommends fixing random seeds where available, documenting model versions and prompts in full, and reporting reliability statistics such as inter-run or inter-language agreement alongside substantive findings (Abdurahman et al., 2025).</w:t>
      </w:r>
    </w:p>
    <w:p>
      <w:pPr>
        <w:pStyle w:val="Heading1"/>
        <w:spacing w:after="180" w:before="360"/>
      </w:pPr>
      <w:r>
        <w:rPr>
          <w:rFonts w:ascii="Calibri" w:cs="Calibri" w:eastAsia="Calibri" w:hAnsi="Calibri"/>
          <w:b/>
          <w:bCs/>
          <w:color w:val="1F3864"/>
          <w:sz w:val="26"/>
          <w:szCs w:val="26"/>
        </w:rPr>
        <w:t xml:space="preserve">5. Research Challenges and Limitations</w:t>
      </w:r>
    </w:p>
    <w:p>
      <w:pPr>
        <w:spacing w:after="200" w:before="0" w:line="276"/>
        <w:jc w:val="both"/>
      </w:pPr>
      <w:r>
        <w:rPr>
          <w:rFonts w:ascii="Calibri" w:cs="Calibri" w:eastAsia="Calibri" w:hAnsi="Calibri"/>
          <w:b/>
          <w:bCs/>
          <w:sz w:val="22"/>
          <w:szCs w:val="22"/>
        </w:rPr>
        <w:t xml:space="preserve">Absence of standardized reporting norms. </w:t>
      </w:r>
      <w:r>
        <w:rPr>
          <w:rFonts w:ascii="Calibri" w:cs="Calibri" w:eastAsia="Calibri" w:hAnsi="Calibri"/>
          <w:sz w:val="22"/>
          <w:szCs w:val="22"/>
        </w:rPr>
        <w:t xml:space="preserve">Unlike measurement reliability in psychometrics or analytic robustness checks in econometrics, there is no widely adopted convention requiring researchers to report a sensitivity interval, rather than a single-prompt result, for LLM-assisted findings, despite Sclar et al. (2024) explicitly recommending such reporting.</w:t>
      </w:r>
    </w:p>
    <w:p>
      <w:pPr>
        <w:spacing w:after="200" w:before="0" w:line="276"/>
        <w:jc w:val="both"/>
      </w:pPr>
      <w:r>
        <w:rPr>
          <w:rFonts w:ascii="Calibri" w:cs="Calibri" w:eastAsia="Calibri" w:hAnsi="Calibri"/>
          <w:b/>
          <w:bCs/>
          <w:sz w:val="22"/>
          <w:szCs w:val="22"/>
        </w:rPr>
        <w:t xml:space="preserve">Confounding of ambiguity, stochasticity, drift, and true sensitivity. </w:t>
      </w:r>
      <w:r>
        <w:rPr>
          <w:rFonts w:ascii="Calibri" w:cs="Calibri" w:eastAsia="Calibri" w:hAnsi="Calibri"/>
          <w:sz w:val="22"/>
          <w:szCs w:val="22"/>
        </w:rPr>
        <w:t xml:space="preserve">As discussed in Section 3.1, disentangling genuine prompt-formulation sensitivity from task ambiguity, sampling stochasticity, and model drift requires careful experimental control that many applied studies do not implement, risking both over- and under-attribution of instability to prompt wording specifically (Are Humans as Brittle as Large Language Models?, 2025).</w:t>
      </w:r>
    </w:p>
    <w:p>
      <w:pPr>
        <w:spacing w:after="200" w:before="0" w:line="276"/>
        <w:jc w:val="both"/>
      </w:pPr>
      <w:r>
        <w:rPr>
          <w:rFonts w:ascii="Calibri" w:cs="Calibri" w:eastAsia="Calibri" w:hAnsi="Calibri"/>
          <w:b/>
          <w:bCs/>
          <w:sz w:val="22"/>
          <w:szCs w:val="22"/>
        </w:rPr>
        <w:t xml:space="preserve">Opacity of proprietary models. </w:t>
      </w:r>
      <w:r>
        <w:rPr>
          <w:rFonts w:ascii="Calibri" w:cs="Calibri" w:eastAsia="Calibri" w:hAnsi="Calibri"/>
          <w:sz w:val="22"/>
          <w:szCs w:val="22"/>
        </w:rPr>
        <w:t xml:space="preserve">Closed-source LLMs used in much applied research withhold architecture, training data composition, and update schedules, preventing external researchers from distinguishing prompt-driven instability from undisclosed model updates, and constraining reproducibility more broadly (Open Source Advantage in LLMs literature, 2024; Abdurahman et al., 2025).</w:t>
      </w:r>
    </w:p>
    <w:p>
      <w:pPr>
        <w:spacing w:after="200" w:before="0" w:line="276"/>
        <w:jc w:val="both"/>
      </w:pPr>
      <w:r>
        <w:rPr>
          <w:rFonts w:ascii="Calibri" w:cs="Calibri" w:eastAsia="Calibri" w:hAnsi="Calibri"/>
          <w:b/>
          <w:bCs/>
          <w:sz w:val="22"/>
          <w:szCs w:val="22"/>
        </w:rPr>
        <w:t xml:space="preserve">Task and domain heterogeneity. </w:t>
      </w:r>
      <w:r>
        <w:rPr>
          <w:rFonts w:ascii="Calibri" w:cs="Calibri" w:eastAsia="Calibri" w:hAnsi="Calibri"/>
          <w:sz w:val="22"/>
          <w:szCs w:val="22"/>
        </w:rPr>
        <w:t xml:space="preserve">Sensitivity magnitude varies substantially by task type, with reasoning-heavy and classification-near-boundary tasks appearing more sensitive than simpler extraction tasks; findings from one domain (e.g., general benchmark QA) may not transfer to specialized domains such as clinical or ecological data extraction, where quantitative extraction has been shown to be comparatively less reliable than categorical extraction (Gougherty &amp; Clipp, 2024; PMC, 2025).</w:t>
      </w:r>
    </w:p>
    <w:p>
      <w:pPr>
        <w:spacing w:after="200" w:before="0" w:line="276"/>
        <w:jc w:val="both"/>
      </w:pPr>
      <w:r>
        <w:rPr>
          <w:rFonts w:ascii="Calibri" w:cs="Calibri" w:eastAsia="Calibri" w:hAnsi="Calibri"/>
          <w:b/>
          <w:bCs/>
          <w:sz w:val="22"/>
          <w:szCs w:val="22"/>
        </w:rPr>
        <w:t xml:space="preserve">Cost of comprehensive sensitivity testing. </w:t>
      </w:r>
      <w:r>
        <w:rPr>
          <w:rFonts w:ascii="Calibri" w:cs="Calibri" w:eastAsia="Calibri" w:hAnsi="Calibri"/>
          <w:sz w:val="22"/>
          <w:szCs w:val="22"/>
        </w:rPr>
        <w:t xml:space="preserve">Techniques such as FormatSpread or multi-prompt evaluation require substantially more API calls or compute than single-prompt evaluation, which can be prohibitive for resource-constrained research teams, particularly when using metered commercial APIs (Staudinger et al., 2024, reporting explicit reproduction costs in the hundreds of US dollars for a single query-generation reproduction study).</w:t>
      </w:r>
    </w:p>
    <w:p>
      <w:pPr>
        <w:spacing w:after="200" w:before="0" w:line="276"/>
        <w:jc w:val="both"/>
      </w:pPr>
      <w:r>
        <w:rPr>
          <w:rFonts w:ascii="Calibri" w:cs="Calibri" w:eastAsia="Calibri" w:hAnsi="Calibri"/>
          <w:b/>
          <w:bCs/>
          <w:sz w:val="22"/>
          <w:szCs w:val="22"/>
        </w:rPr>
        <w:t xml:space="preserve">Entanglement with hallucination and factuality. </w:t>
      </w:r>
      <w:r>
        <w:rPr>
          <w:rFonts w:ascii="Calibri" w:cs="Calibri" w:eastAsia="Calibri" w:hAnsi="Calibri"/>
          <w:sz w:val="22"/>
          <w:szCs w:val="22"/>
        </w:rPr>
        <w:t xml:space="preserve">Because unstable prompts can shift not only style but factual content, sensitivity analysis cannot be fully separated from hallucination detection; a prompt reformulation that increases apparent "stability" of an output could in principle stabilize around a hallucinated rather than a correct answer, meaning stability alone is an insufficient reliability criterion (Ji et al., 2023; Barrie et al., 2024).</w:t>
      </w:r>
    </w:p>
    <w:p>
      <w:pPr>
        <w:spacing w:after="200" w:before="0" w:line="276"/>
        <w:jc w:val="both"/>
      </w:pPr>
      <w:r>
        <w:rPr>
          <w:rFonts w:ascii="Calibri" w:cs="Calibri" w:eastAsia="Calibri" w:hAnsi="Calibri"/>
          <w:b/>
          <w:bCs/>
          <w:sz w:val="22"/>
          <w:szCs w:val="22"/>
        </w:rPr>
        <w:t xml:space="preserve">Anthropomorphism and epistemic overconfidence. </w:t>
      </w:r>
      <w:r>
        <w:rPr>
          <w:rFonts w:ascii="Calibri" w:cs="Calibri" w:eastAsia="Calibri" w:hAnsi="Calibri"/>
          <w:sz w:val="22"/>
          <w:szCs w:val="22"/>
        </w:rPr>
        <w:t xml:space="preserve">Framing LLMs as autonomous "scientific assistants" or co-authors risks obscuring their prompt-contingent nature from end users and reviewers, potentially fostering misplaced confidence in single-prompt outputs and reducing incentive to conduct sensitivity checks (Abdurahman et al., 2025, citing Messeri &amp; Crockett, 2024).</w:t>
      </w:r>
    </w:p>
    <w:p>
      <w:pPr>
        <w:pStyle w:val="Heading1"/>
        <w:spacing w:after="180" w:before="360"/>
      </w:pPr>
      <w:r>
        <w:rPr>
          <w:rFonts w:ascii="Calibri" w:cs="Calibri" w:eastAsia="Calibri" w:hAnsi="Calibri"/>
          <w:b/>
          <w:bCs/>
          <w:color w:val="1F3864"/>
          <w:sz w:val="26"/>
          <w:szCs w:val="26"/>
        </w:rPr>
        <w:t xml:space="preserve">6. Research Gaps and Future Directions</w:t>
      </w:r>
    </w:p>
    <w:p>
      <w:pPr>
        <w:pStyle w:val="Heading2"/>
        <w:spacing w:after="140" w:before="240"/>
      </w:pPr>
      <w:r>
        <w:rPr>
          <w:rFonts w:ascii="Calibri" w:cs="Calibri" w:eastAsia="Calibri" w:hAnsi="Calibri"/>
          <w:b/>
          <w:bCs/>
          <w:color w:val="2E5395"/>
          <w:sz w:val="23"/>
          <w:szCs w:val="23"/>
        </w:rPr>
        <w:t xml:space="preserve">6.1 Standardized Sensitivity-Reporting Frameworks for Research Use</w:t>
      </w:r>
    </w:p>
    <w:p>
      <w:pPr>
        <w:spacing w:after="200" w:before="0" w:line="276"/>
        <w:jc w:val="both"/>
      </w:pPr>
      <w:r>
        <w:rPr>
          <w:rFonts w:ascii="Calibri" w:cs="Calibri" w:eastAsia="Calibri" w:hAnsi="Calibri"/>
          <w:sz w:val="22"/>
          <w:szCs w:val="22"/>
        </w:rPr>
        <w:t xml:space="preserve">A clear gap is the lack of a discipline-agnostic standard, analogous to CONSORT or PRISMA checklists in clinical and systematic-review research, that specifies minimum sensitivity-reporting requirements for studies that use LLMs to generate or mediate conclusions — for example, requiring a reported performance or agreement interval across a documented set of prompt paraphrases, alongside the single "main" result. Existing tools such as FormatSpread and POSIX provide the technical machinery; what is missing is disciplinary uptake and journal-level reporting norms (Sclar et al., 2024; POSIX, 2024).</w:t>
      </w:r>
    </w:p>
    <w:p>
      <w:pPr>
        <w:pStyle w:val="Heading2"/>
        <w:spacing w:after="140" w:before="240"/>
      </w:pPr>
      <w:r>
        <w:rPr>
          <w:rFonts w:ascii="Calibri" w:cs="Calibri" w:eastAsia="Calibri" w:hAnsi="Calibri"/>
          <w:b/>
          <w:bCs/>
          <w:color w:val="2E5395"/>
          <w:sz w:val="23"/>
          <w:szCs w:val="23"/>
        </w:rPr>
        <w:t xml:space="preserve">6.2 Task-Specific Prompt-Invariance Benchmarks for Scientific Reasoning</w:t>
      </w:r>
    </w:p>
    <w:p>
      <w:pPr>
        <w:spacing w:after="200" w:before="0" w:line="276"/>
        <w:jc w:val="both"/>
      </w:pPr>
      <w:r>
        <w:rPr>
          <w:rFonts w:ascii="Calibri" w:cs="Calibri" w:eastAsia="Calibri" w:hAnsi="Calibri"/>
          <w:sz w:val="22"/>
          <w:szCs w:val="22"/>
        </w:rPr>
        <w:t xml:space="preserve">Most robustness benchmarks (e.g., PromptBench) target general NLP tasks such as sentiment analysis, natural language inference, and machine translation (Zhu, Wang, Zhou, et al., 2023). There remains limited benchmark coverage of higher-order scientific reasoning tasks — such as effect-size interpretation, causal-claim evaluation, or synthesis of conflicting evidence — where the consequences of instability for research conclusions are most acute. Extending prompt-perturbation benchmarks into these domains, building on emerging domain case studies (Gougherty &amp; Clipp, 2024; PMC, 2025), is a priority for future work.</w:t>
      </w:r>
    </w:p>
    <w:p>
      <w:pPr>
        <w:pStyle w:val="Heading2"/>
        <w:spacing w:after="140" w:before="240"/>
      </w:pPr>
      <w:r>
        <w:rPr>
          <w:rFonts w:ascii="Calibri" w:cs="Calibri" w:eastAsia="Calibri" w:hAnsi="Calibri"/>
          <w:b/>
          <w:bCs/>
          <w:color w:val="2E5395"/>
          <w:sz w:val="23"/>
          <w:szCs w:val="23"/>
        </w:rPr>
        <w:t xml:space="preserve">6.3 Disentangling Sources of Instability</w:t>
      </w:r>
    </w:p>
    <w:p>
      <w:pPr>
        <w:spacing w:after="200" w:before="0" w:line="276"/>
        <w:jc w:val="both"/>
      </w:pPr>
      <w:r>
        <w:rPr>
          <w:rFonts w:ascii="Calibri" w:cs="Calibri" w:eastAsia="Calibri" w:hAnsi="Calibri"/>
          <w:sz w:val="22"/>
          <w:szCs w:val="22"/>
        </w:rPr>
        <w:t xml:space="preserve">Future studies should adopt factorial designs that separately manipulate prompt wording, decoding temperature, random seed, and (where possible) model version, to cleanly partition variance attributable to each source, building on the comparative framing introduced by studies contrasting LLM prompt brittleness with human annotator variability (Are Humans as Brittle as Large Language Models?, 2025).</w:t>
      </w:r>
    </w:p>
    <w:p>
      <w:pPr>
        <w:pStyle w:val="Heading2"/>
        <w:spacing w:after="140" w:before="240"/>
      </w:pPr>
      <w:r>
        <w:rPr>
          <w:rFonts w:ascii="Calibri" w:cs="Calibri" w:eastAsia="Calibri" w:hAnsi="Calibri"/>
          <w:b/>
          <w:bCs/>
          <w:color w:val="2E5395"/>
          <w:sz w:val="23"/>
          <w:szCs w:val="23"/>
        </w:rPr>
        <w:t xml:space="preserve">6.4 Mechanistic Interpretability for Sensitivity Localization</w:t>
      </w:r>
    </w:p>
    <w:p>
      <w:pPr>
        <w:spacing w:after="200" w:before="0" w:line="276"/>
        <w:jc w:val="both"/>
      </w:pPr>
      <w:r>
        <w:rPr>
          <w:rFonts w:ascii="Calibri" w:cs="Calibri" w:eastAsia="Calibri" w:hAnsi="Calibri"/>
          <w:sz w:val="22"/>
          <w:szCs w:val="22"/>
        </w:rPr>
        <w:t xml:space="preserve">Early mechanistic work using gradient-norm bounds and interaction decomposition offers promising, still-nascent tools for identifying which tokens or embedding regions are responsible for instability (Understanding the Prompt Sensitivity, 2026; Evaluating and Explaining Prompt Sensitivity of LLMs Using Interactions, 2026). Extending these methods from controlled benchmark settings to realistic, long-form research-generation tasks — where outputs are paragraphs of interpretive text rather than single labels — remains an open technical challenge.</w:t>
      </w:r>
    </w:p>
    <w:p>
      <w:pPr>
        <w:pStyle w:val="Heading2"/>
        <w:spacing w:after="140" w:before="240"/>
      </w:pPr>
      <w:r>
        <w:rPr>
          <w:rFonts w:ascii="Calibri" w:cs="Calibri" w:eastAsia="Calibri" w:hAnsi="Calibri"/>
          <w:b/>
          <w:bCs/>
          <w:color w:val="2E5395"/>
          <w:sz w:val="23"/>
          <w:szCs w:val="23"/>
        </w:rPr>
        <w:t xml:space="preserve">6.5 Governance, Documentation, and Tooling for Reproducible LLM-Assisted Research</w:t>
      </w:r>
    </w:p>
    <w:p>
      <w:pPr>
        <w:spacing w:after="200" w:before="0" w:line="276"/>
        <w:jc w:val="both"/>
      </w:pPr>
      <w:r>
        <w:rPr>
          <w:rFonts w:ascii="Calibri" w:cs="Calibri" w:eastAsia="Calibri" w:hAnsi="Calibri"/>
          <w:sz w:val="22"/>
          <w:szCs w:val="22"/>
        </w:rPr>
        <w:t xml:space="preserve">Workflow-level proposals such as declarative prompt compilation (Susnjak, 2025) and criteria-refinement loops for systematic review screening (PNAS, 2025) point toward a broader need for research-infrastructure tooling — version-controlled prompt repositories, automated regression testing of prompts against held-out gold-standard answers, and persistent logging of model version and API parameters — that treats prompts as first-class, auditable research artifacts rather than incidental implementation details.</w:t>
      </w:r>
    </w:p>
    <w:p>
      <w:pPr>
        <w:pStyle w:val="Heading2"/>
        <w:spacing w:after="140" w:before="240"/>
      </w:pPr>
      <w:r>
        <w:rPr>
          <w:rFonts w:ascii="Calibri" w:cs="Calibri" w:eastAsia="Calibri" w:hAnsi="Calibri"/>
          <w:b/>
          <w:bCs/>
          <w:color w:val="2E5395"/>
          <w:sz w:val="23"/>
          <w:szCs w:val="23"/>
        </w:rPr>
        <w:t xml:space="preserve">6.6 Longitudinal Tracking of Model Drift</w:t>
      </w:r>
    </w:p>
    <w:p>
      <w:pPr>
        <w:spacing w:after="200" w:before="0" w:line="276"/>
        <w:jc w:val="both"/>
      </w:pPr>
      <w:r>
        <w:rPr>
          <w:rFonts w:ascii="Calibri" w:cs="Calibri" w:eastAsia="Calibri" w:hAnsi="Calibri"/>
          <w:sz w:val="22"/>
          <w:szCs w:val="22"/>
        </w:rPr>
        <w:t xml:space="preserve">Because proprietary LLMs are updated on undisclosed schedules, longitudinal studies that periodically re-run a fixed prompt battery against a research task over time are needed to distinguish drift-induced instability from prompt-induced instability, complementing the caution already raised regarding long-term reliability of proprietary models (Abdurahman et al., 2025).</w:t>
      </w:r>
    </w:p>
    <w:p>
      <w:pPr>
        <w:pStyle w:val="Heading1"/>
        <w:spacing w:after="180" w:before="360"/>
      </w:pPr>
      <w:r>
        <w:rPr>
          <w:rFonts w:ascii="Calibri" w:cs="Calibri" w:eastAsia="Calibri" w:hAnsi="Calibri"/>
          <w:b/>
          <w:bCs/>
          <w:color w:val="1F3864"/>
          <w:sz w:val="26"/>
          <w:szCs w:val="26"/>
        </w:rPr>
        <w:t xml:space="preserve">7. Conclusion</w:t>
      </w:r>
    </w:p>
    <w:p>
      <w:pPr>
        <w:spacing w:after="200" w:before="0" w:line="276"/>
        <w:jc w:val="both"/>
      </w:pPr>
      <w:r>
        <w:rPr>
          <w:rFonts w:ascii="Calibri" w:cs="Calibri" w:eastAsia="Calibri" w:hAnsi="Calibri"/>
          <w:sz w:val="22"/>
          <w:szCs w:val="22"/>
        </w:rPr>
        <w:t xml:space="preserve">Prompt sensitivity is a well-documented and, in many settings, large-magnitude property of contemporary LLMs: meaning-preserving changes to prompt wording, formatting, or example ordering can shift model outputs by tens of accuracy points, and this instability persists across model scale and instruction tuning (Sclar et al., 2024; Zhu, Wang, Zhou, et al., 2023). As LLMs move from general-purpose text generation into research-critical roles — literature screening, data extraction, and interpretive synthesis — this instability becomes a direct threat to the reproducibility and validity of the conclusions these systems help produce (Staudinger et al., 2024; Susnjak, 2025; Barrie et al., 2024). The literature reviewed here shows both the seriousness of the problem and the maturation of a technical response: measurement tools such as FormatSpread and POSIX, robustness benchmarks such as PromptBench, mitigation techniques such as contextual calibration and self-consistency sampling, and emerging mechanistic explanations of why sensitivity arises. What remains underdeveloped is the translation of these tools into standard research practice — reporting norms, task-specific benchmarks for scientific reasoning, and governance infrastructure that treats prompts with the same methodological seriousness traditionally reserved for survey instruments, experimental protocols, or statistical model specifications. Until such norms are widely adopted, any research conclusion substantially shaped by an LLM should be treated as provisional on the particular prompt used to generate it, and researchers, reviewers, and journals alike bear responsibility for demanding — and reporting — evidence of prompt-invariant stability before such conclusions are accepted as reliable contributions to the scientific record.</w:t>
      </w:r>
    </w:p>
    <w:p>
      <w:pPr>
        <w:pStyle w:val="Heading1"/>
        <w:spacing w:after="180" w:before="360"/>
      </w:pPr>
      <w:r>
        <w:rPr>
          <w:rFonts w:ascii="Calibri" w:cs="Calibri" w:eastAsia="Calibri" w:hAnsi="Calibri"/>
          <w:b/>
          <w:bCs/>
          <w:color w:val="1F3864"/>
          <w:sz w:val="26"/>
          <w:szCs w:val="26"/>
        </w:rPr>
        <w:t xml:space="preserve">References</w:t>
      </w:r>
    </w:p>
    <w:p>
      <w:pPr>
        <w:spacing w:after="160" w:line="264"/>
        <w:ind w:left="720" w:hanging="720"/>
        <w:jc w:val="both"/>
      </w:pPr>
      <w:r>
        <w:rPr>
          <w:rFonts w:ascii="Calibri" w:cs="Calibri" w:eastAsia="Calibri" w:hAnsi="Calibri"/>
          <w:sz w:val="21"/>
          <w:szCs w:val="21"/>
        </w:rPr>
        <w:t xml:space="preserve">Abdurahman, S., Ziabari, A. S., Moore, A. K., Bartels, D. M., &amp; Dehghani, M. (2025). A primer for evaluating large language models in social-science research. Advances in Methods and Practices in Psychological Science. https://doi.org/10.1177/25152459251325174</w:t>
      </w:r>
    </w:p>
    <w:p>
      <w:pPr>
        <w:spacing w:after="160" w:line="264"/>
        <w:ind w:left="720" w:hanging="720"/>
        <w:jc w:val="both"/>
      </w:pPr>
      <w:r>
        <w:rPr>
          <w:rFonts w:ascii="Calibri" w:cs="Calibri" w:eastAsia="Calibri" w:hAnsi="Calibri"/>
          <w:sz w:val="21"/>
          <w:szCs w:val="21"/>
        </w:rPr>
        <w:t xml:space="preserve">Barrie, C., Palaiologou, E., &amp; Törnberg, P. (2024). Prompt stability scoring for text annotation with large language models. arXiv:2407.02039. https://arxiv.org/abs/2407.02039</w:t>
      </w:r>
    </w:p>
    <w:p>
      <w:pPr>
        <w:spacing w:after="160" w:line="264"/>
        <w:ind w:left="720" w:hanging="720"/>
        <w:jc w:val="both"/>
      </w:pPr>
      <w:r>
        <w:rPr>
          <w:rFonts w:ascii="Calibri" w:cs="Calibri" w:eastAsia="Calibri" w:hAnsi="Calibri"/>
          <w:sz w:val="21"/>
          <w:szCs w:val="21"/>
        </w:rPr>
        <w:t xml:space="preserve">Evaluating and explaining prompt sensitivity of LLMs using interactions. (2026). arXiv:2608.18539; also presented as an ICML poster (2026). https://arxiv.org/abs/2608.18539</w:t>
      </w:r>
    </w:p>
    <w:p>
      <w:pPr>
        <w:spacing w:after="160" w:line="264"/>
        <w:ind w:left="720" w:hanging="720"/>
        <w:jc w:val="both"/>
      </w:pPr>
      <w:r>
        <w:rPr>
          <w:rFonts w:ascii="Calibri" w:cs="Calibri" w:eastAsia="Calibri" w:hAnsi="Calibri"/>
          <w:sz w:val="21"/>
          <w:szCs w:val="21"/>
        </w:rPr>
        <w:t xml:space="preserve">Gougherty, A. V., &amp; Clipp, H. L. (2024). Testing the reliability of an AI-based large language model to extract ecological information from the scientific literature. npj (Nature Portfolio). https://doi.org/10.1038/s44185-024-00043-9</w:t>
      </w:r>
    </w:p>
    <w:p>
      <w:pPr>
        <w:spacing w:after="160" w:line="264"/>
        <w:ind w:left="720" w:hanging="720"/>
        <w:jc w:val="both"/>
      </w:pPr>
      <w:r>
        <w:rPr>
          <w:rFonts w:ascii="Calibri" w:cs="Calibri" w:eastAsia="Calibri" w:hAnsi="Calibri"/>
          <w:sz w:val="21"/>
          <w:szCs w:val="21"/>
        </w:rPr>
        <w:t xml:space="preserve">Ji, Z., Lee, N., Frieske, R., Yu, T., Su, D., Xu, Y., Ishii, E., Bang, Y. J., Madotto, A., &amp; Fung, P. (2023). Survey of hallucination in natural language generation. ACM Computing Surveys, 55(12), Article 248. https://doi.org/10.1145/3571730</w:t>
      </w:r>
    </w:p>
    <w:p>
      <w:pPr>
        <w:spacing w:after="160" w:line="264"/>
        <w:ind w:left="720" w:hanging="720"/>
        <w:jc w:val="both"/>
      </w:pPr>
      <w:r>
        <w:rPr>
          <w:rFonts w:ascii="Calibri" w:cs="Calibri" w:eastAsia="Calibri" w:hAnsi="Calibri"/>
          <w:sz w:val="21"/>
          <w:szCs w:val="21"/>
        </w:rPr>
        <w:t xml:space="preserve">Katz, U., et al. (2025). Transforming literature screening: The emerging role of large language models in systematic reviews. Proceedings of the National Academy of Sciences. https://doi.org/10.1073/pnas.2411962122</w:t>
      </w:r>
    </w:p>
    <w:p>
      <w:pPr>
        <w:spacing w:after="160" w:line="264"/>
        <w:ind w:left="720" w:hanging="720"/>
        <w:jc w:val="both"/>
      </w:pPr>
      <w:r>
        <w:rPr>
          <w:rFonts w:ascii="Calibri" w:cs="Calibri" w:eastAsia="Calibri" w:hAnsi="Calibri"/>
          <w:sz w:val="21"/>
          <w:szCs w:val="21"/>
        </w:rPr>
        <w:t xml:space="preserve">POSIX: A prompt sensitivity index for large language models. (2024). arXiv:2410.02185. https://arxiv.org/abs/2410.02185</w:t>
      </w:r>
    </w:p>
    <w:p>
      <w:pPr>
        <w:spacing w:after="160" w:line="264"/>
        <w:ind w:left="720" w:hanging="720"/>
        <w:jc w:val="both"/>
      </w:pPr>
      <w:r>
        <w:rPr>
          <w:rFonts w:ascii="Calibri" w:cs="Calibri" w:eastAsia="Calibri" w:hAnsi="Calibri"/>
          <w:sz w:val="21"/>
          <w:szCs w:val="21"/>
        </w:rPr>
        <w:t xml:space="preserve">Radiology report classification prompt and data perturbation sensitivity study. (2025). PMC12343119. https://pmc.ncbi.nlm.nih.gov/articles/PMC12343119/</w:t>
      </w:r>
    </w:p>
    <w:p>
      <w:pPr>
        <w:spacing w:after="160" w:line="264"/>
        <w:ind w:left="720" w:hanging="720"/>
        <w:jc w:val="both"/>
      </w:pPr>
      <w:r>
        <w:rPr>
          <w:rFonts w:ascii="Calibri" w:cs="Calibri" w:eastAsia="Calibri" w:hAnsi="Calibri"/>
          <w:sz w:val="21"/>
          <w:szCs w:val="21"/>
        </w:rPr>
        <w:t xml:space="preserve">Sclar, M., Choi, Y., Tsvetkov, Y., &amp; Suhr, A. (2024). Quantifying language models' sensitivity to spurious features in prompt design or: How I learned to start worrying about prompt formatting. In Proceedings of the Twelfth International Conference on Learning Representations (ICLR 2024). arXiv:2310.11324. https://arxiv.org/abs/2310.11324</w:t>
      </w:r>
    </w:p>
    <w:p>
      <w:pPr>
        <w:spacing w:after="160" w:line="264"/>
        <w:ind w:left="720" w:hanging="720"/>
        <w:jc w:val="both"/>
      </w:pPr>
      <w:r>
        <w:rPr>
          <w:rFonts w:ascii="Calibri" w:cs="Calibri" w:eastAsia="Calibri" w:hAnsi="Calibri"/>
          <w:sz w:val="21"/>
          <w:szCs w:val="21"/>
        </w:rPr>
        <w:t xml:space="preserve">Are humans as brittle as large language models? (2025). arXiv:2509.07869. https://arxiv.org/abs/2509.07869</w:t>
      </w:r>
    </w:p>
    <w:p>
      <w:pPr>
        <w:spacing w:after="160" w:line="264"/>
        <w:ind w:left="720" w:hanging="720"/>
        <w:jc w:val="both"/>
      </w:pPr>
      <w:r>
        <w:rPr>
          <w:rFonts w:ascii="Calibri" w:cs="Calibri" w:eastAsia="Calibri" w:hAnsi="Calibri"/>
          <w:sz w:val="21"/>
          <w:szCs w:val="21"/>
        </w:rPr>
        <w:t xml:space="preserve">Staudinger, M., Kusa, W., Piroi, F., Lipani, A., &amp; Hanbury, A. (2024). A reproducibility and generalizability study of large language models for query generation. In Proceedings of the 2024 Annual International ACM SIGIR Conference on Research and Development in Information Retrieval in the Asia Pacific Region (SIGIR-AP '24) (pp. 1–11). ACM. https://doi.org/10.1145/3673791.3698432 (arXiv:2411.14914)</w:t>
      </w:r>
    </w:p>
    <w:p>
      <w:pPr>
        <w:spacing w:after="160" w:line="264"/>
        <w:ind w:left="720" w:hanging="720"/>
        <w:jc w:val="both"/>
      </w:pPr>
      <w:r>
        <w:rPr>
          <w:rFonts w:ascii="Calibri" w:cs="Calibri" w:eastAsia="Calibri" w:hAnsi="Calibri"/>
          <w:sz w:val="21"/>
          <w:szCs w:val="21"/>
        </w:rPr>
        <w:t xml:space="preserve">Susnjak, T. (2025). Compiling prompts, not crafting them: A reproducible workflow for AI-assisted evidence synthesis. arXiv:2509.00038. https://arxiv.org/abs/2509.00038</w:t>
      </w:r>
    </w:p>
    <w:p>
      <w:pPr>
        <w:spacing w:after="160" w:line="264"/>
        <w:ind w:left="720" w:hanging="720"/>
        <w:jc w:val="both"/>
      </w:pPr>
      <w:r>
        <w:rPr>
          <w:rFonts w:ascii="Calibri" w:cs="Calibri" w:eastAsia="Calibri" w:hAnsi="Calibri"/>
          <w:sz w:val="21"/>
          <w:szCs w:val="21"/>
        </w:rPr>
        <w:t xml:space="preserve">Understanding the prompt sensitivity of LLMs. (2026). arXiv:2604.18389. https://arxiv.org/abs/2604.18389</w:t>
      </w:r>
    </w:p>
    <w:p>
      <w:pPr>
        <w:spacing w:after="160" w:line="264"/>
        <w:ind w:left="720" w:hanging="720"/>
        <w:jc w:val="both"/>
      </w:pPr>
      <w:r>
        <w:rPr>
          <w:rFonts w:ascii="Calibri" w:cs="Calibri" w:eastAsia="Calibri" w:hAnsi="Calibri"/>
          <w:sz w:val="21"/>
          <w:szCs w:val="21"/>
        </w:rPr>
        <w:t xml:space="preserve">Wang, X., Wei, J., Schuurmans, D., Le, Q., Chi, E., Narang, S., Chowdhery, A., &amp; Zhou, D. (2022). Self-consistency improves chain of thought reasoning in language models. arXiv:2203.11171. https://arxiv.org/abs/2203.11171</w:t>
      </w:r>
    </w:p>
    <w:p>
      <w:pPr>
        <w:spacing w:after="160" w:line="264"/>
        <w:ind w:left="720" w:hanging="720"/>
        <w:jc w:val="both"/>
      </w:pPr>
      <w:r>
        <w:rPr>
          <w:rFonts w:ascii="Calibri" w:cs="Calibri" w:eastAsia="Calibri" w:hAnsi="Calibri"/>
          <w:sz w:val="21"/>
          <w:szCs w:val="21"/>
        </w:rPr>
        <w:t xml:space="preserve">Wei, J., Wang, X., Schuurmans, D., Bosma, M., Ichter, B., Xia, F., Chi, E., Le, Q., &amp; Zhou, D. (2022). Chain-of-thought prompting elicits reasoning in large language models. Advances in Neural Information Processing Systems, 35, 24824–24837. arXiv:2201.11903. https://arxiv.org/abs/2201.11903</w:t>
      </w:r>
    </w:p>
    <w:p>
      <w:pPr>
        <w:spacing w:after="160" w:line="264"/>
        <w:ind w:left="720" w:hanging="720"/>
        <w:jc w:val="both"/>
      </w:pPr>
      <w:r>
        <w:rPr>
          <w:rFonts w:ascii="Calibri" w:cs="Calibri" w:eastAsia="Calibri" w:hAnsi="Calibri"/>
          <w:sz w:val="21"/>
          <w:szCs w:val="21"/>
        </w:rPr>
        <w:t xml:space="preserve">Zhao, T. Z., Wallace, E., Feng, S., Klein, D., &amp; Singh, S. (2021). Calibrate before use: Improving few-shot performance of language models. In Proceedings of the 38th International Conference on Machine Learning (ICML 2021), PMLR 139, 12697–12706. arXiv:2102.09690. https://arxiv.org/abs/2102.09690</w:t>
      </w:r>
    </w:p>
    <w:p>
      <w:pPr>
        <w:spacing w:after="160" w:line="264"/>
        <w:ind w:left="720" w:hanging="720"/>
        <w:jc w:val="both"/>
      </w:pPr>
      <w:r>
        <w:rPr>
          <w:rFonts w:ascii="Calibri" w:cs="Calibri" w:eastAsia="Calibri" w:hAnsi="Calibri"/>
          <w:sz w:val="21"/>
          <w:szCs w:val="21"/>
        </w:rPr>
        <w:t xml:space="preserve">Zhu, K., Wang, J., Zhou, J., Wang, Z., Chen, H., Wang, Y., Yang, L., Ye, W., Gong, N. Z., Zhang, Y., &amp; Xie, X. (2023). PromptBench (PromptRobust): Towards evaluating the robustness of large language models on adversarial prompts. arXiv:2306.04528. https://arxiv.org/abs/2306.04528</w:t>
      </w:r>
    </w:p>
    <w:p>
      <w:pPr>
        <w:spacing w:after="160" w:line="264"/>
        <w:ind w:left="720" w:hanging="720"/>
        <w:jc w:val="both"/>
      </w:pPr>
      <w:r>
        <w:rPr>
          <w:rFonts w:ascii="Calibri" w:cs="Calibri" w:eastAsia="Calibri" w:hAnsi="Calibri"/>
          <w:sz w:val="21"/>
          <w:szCs w:val="21"/>
        </w:rPr>
        <w:t xml:space="preserve">Zhu, K., Zhao, Q., Chen, H., Wang, J., &amp; Xie, X. (2023). PromptBench: A unified library for evaluation of large language models. arXiv:2312.07910. https://arxiv.org/abs/2312.07910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Prompt Sensitivity and LLM Research Conclusions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956d76cc0d911f0e5340e35e47adb86964439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2026-09-18T04:54:38.989Z</dcterms:created>
  <dcterms:modified xsi:type="dcterms:W3CDTF">2026-09-18T04:54:38.997Z</dcterms:modified>
</cp:coreProperties>
</file>

<file path=docProps/custom.xml><?xml version="1.0" encoding="utf-8"?>
<Properties xmlns="http://schemas.openxmlformats.org/officeDocument/2006/custom-properties" xmlns:vt="http://schemas.openxmlformats.org/officeDocument/2006/docPropsVTypes"/>
</file>