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Project Design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Solution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4.0" w:type="dxa"/>
        <w:jc w:val="left"/>
        <w:tblLayout w:type="fixed"/>
        <w:tblLook w:val="0600"/>
      </w:tblPr>
      <w:tblGrid>
        <w:gridCol w:w="4292"/>
        <w:gridCol w:w="4292"/>
        <w:tblGridChange w:id="0">
          <w:tblGrid>
            <w:gridCol w:w="4292"/>
            <w:gridCol w:w="429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19"/>
                <w:szCs w:val="19"/>
                <w:rtl w:val="0"/>
              </w:rPr>
              <w:t xml:space="preserve">LTVIP2025TMID59202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SmartSDLC – AI-Enhanced Software Development Lifecycle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Solution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ind w:firstLine="72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The solution architecture for our project outlines a structured approach to developing a machine learning application, starting from data collection and preprocessing to model building and deployment. Data is initially gathered from structured sources and processed using Python libraries like Pandas and Scikit-learn to handle missing and categorical values. The cleaned data is then used to train and test machine learning models, ensuring accurate predictions. Finally, the trained model is integrated into a user-friendly web interface using Flask and HTML for real-time interaction. This architecture ensures a seamless data flow, modular development, and scalable deployment, aligning with the project goals and agile sprint structure. The design is inspired by real-world architecture patterns, such as those presented in AWS's clinical voice application framework.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24525" cy="240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rtl w:val="0"/>
        </w:rPr>
        <w:t xml:space="preserve">Smart SDLC: End-to-End Machine Learning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Reference: </w:t>
      </w:r>
      <w:hyperlink r:id="rId7">
        <w:r w:rsidDel="00000000" w:rsidR="00000000" w:rsidRPr="00000000">
          <w:rPr>
            <w:rFonts w:ascii="Calibri" w:cs="Calibri" w:eastAsia="Calibri" w:hAnsi="Calibri"/>
            <w:color w:val="467886"/>
            <w:u w:val="single"/>
            <w:rtl w:val="0"/>
          </w:rPr>
          <w:t xml:space="preserve">https://medium.com/@mark.southworth98/utilising-ai-ml-to-improve-the-software-development-lifecycle-b0b6fa961cf6</w:t>
        </w:r>
      </w:hyperlink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Calibri"/>
  <w:font w:name="Verdana"/>
  <w:font w:name="Arial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um.com/@mark.southworth98/utilising-ai-ml-to-improve-the-software-development-lifecycle-b0b6fa961c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