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DSA06 – DATA HANDLING AND VISUALIZATION</w:t>
      </w:r>
    </w:p>
    <w:p>
      <w:pPr>
        <w:jc w:val="center"/>
      </w:pPr>
      <w:r>
        <w:rPr>
          <w:b/>
          <w:sz w:val="26"/>
        </w:rPr>
        <w:t>Activity 6: Website Flow Sankey Design | Slot C</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pPr>
              <w:spacing w:after="20"/>
            </w:pPr>
            <w:r/>
            <w:r>
              <w:rPr>
                <w:rFonts w:ascii="Arial" w:hAnsi="Arial"/>
                <w:b/>
                <w:sz w:val="20"/>
              </w:rPr>
              <w:t>Student detail</w:t>
            </w:r>
          </w:p>
        </w:tc>
        <w:tc>
          <w:tcPr>
            <w:tcW w:type="dxa" w:w="7344"/>
            <w:vAlign w:val="center"/>
            <w:shd w:fill="D9EAF7"/>
          </w:tcPr>
          <w:p>
            <w:pPr>
              <w:spacing w:after="20"/>
            </w:pPr>
            <w:r/>
            <w:r>
              <w:rPr>
                <w:rFonts w:ascii="Arial" w:hAnsi="Arial"/>
                <w:b/>
                <w:sz w:val="20"/>
              </w:rPr>
              <w:t>Information</w:t>
            </w:r>
          </w:p>
        </w:tc>
      </w:tr>
      <w:tr>
        <w:tc>
          <w:tcPr>
            <w:tcW w:type="dxa" w:w="2880"/>
            <w:vAlign w:val="center"/>
          </w:tcPr>
          <w:p>
            <w:pPr>
              <w:spacing w:after="20"/>
            </w:pPr>
            <w:r/>
            <w:r>
              <w:rPr>
                <w:rFonts w:ascii="Arial" w:hAnsi="Arial"/>
                <w:b w:val="0"/>
                <w:sz w:val="20"/>
              </w:rPr>
              <w:t>R.No.</w:t>
            </w:r>
          </w:p>
        </w:tc>
        <w:tc>
          <w:tcPr>
            <w:tcW w:type="dxa" w:w="7344"/>
            <w:vAlign w:val="center"/>
          </w:tcPr>
          <w:p>
            <w:pPr>
              <w:spacing w:after="20"/>
            </w:pPr>
            <w:r/>
            <w:r>
              <w:rPr>
                <w:rFonts w:ascii="Arial" w:hAnsi="Arial"/>
                <w:b w:val="0"/>
                <w:sz w:val="20"/>
              </w:rPr>
              <w:t>9</w:t>
            </w:r>
          </w:p>
        </w:tc>
      </w:tr>
      <w:tr>
        <w:tc>
          <w:tcPr>
            <w:tcW w:type="dxa" w:w="2880"/>
            <w:vAlign w:val="center"/>
          </w:tcPr>
          <w:p>
            <w:pPr>
              <w:spacing w:after="20"/>
            </w:pPr>
            <w:r/>
            <w:r>
              <w:rPr>
                <w:rFonts w:ascii="Arial" w:hAnsi="Arial"/>
                <w:b w:val="0"/>
                <w:sz w:val="20"/>
              </w:rPr>
              <w:t>Reg. No.</w:t>
            </w:r>
          </w:p>
        </w:tc>
        <w:tc>
          <w:tcPr>
            <w:tcW w:type="dxa" w:w="7344"/>
            <w:vAlign w:val="center"/>
          </w:tcPr>
          <w:p>
            <w:pPr>
              <w:spacing w:after="20"/>
            </w:pPr>
            <w:r/>
            <w:r>
              <w:rPr>
                <w:rFonts w:ascii="Arial" w:hAnsi="Arial"/>
                <w:b w:val="0"/>
                <w:sz w:val="20"/>
              </w:rPr>
              <w:t>192325077</w:t>
            </w:r>
          </w:p>
        </w:tc>
      </w:tr>
      <w:tr>
        <w:tc>
          <w:tcPr>
            <w:tcW w:type="dxa" w:w="2880"/>
            <w:vAlign w:val="center"/>
          </w:tcPr>
          <w:p>
            <w:pPr>
              <w:spacing w:after="20"/>
            </w:pPr>
            <w:r/>
            <w:r>
              <w:rPr>
                <w:rFonts w:ascii="Arial" w:hAnsi="Arial"/>
                <w:b w:val="0"/>
                <w:sz w:val="20"/>
              </w:rPr>
              <w:t>Name</w:t>
            </w:r>
          </w:p>
        </w:tc>
        <w:tc>
          <w:tcPr>
            <w:tcW w:type="dxa" w:w="7344"/>
            <w:vAlign w:val="center"/>
          </w:tcPr>
          <w:p>
            <w:pPr>
              <w:spacing w:after="20"/>
            </w:pPr>
            <w:r/>
            <w:r>
              <w:rPr>
                <w:rFonts w:ascii="Arial" w:hAnsi="Arial"/>
                <w:b w:val="0"/>
                <w:sz w:val="20"/>
              </w:rPr>
              <w:t>CHEVULA RUPAVATHI</w:t>
            </w:r>
          </w:p>
        </w:tc>
      </w:tr>
    </w:tbl>
    <w:p>
      <w:pPr>
        <w:spacing w:after="20"/>
      </w:pPr>
    </w:p>
    <w:p>
      <w:pPr>
        <w:pStyle w:val="Heading1"/>
      </w:pPr>
      <w:r>
        <w:t>Original Assignment Diagram</w:t>
      </w:r>
    </w:p>
    <w:p>
      <w:pPr>
        <w:jc w:val="center"/>
      </w:pPr>
      <w:r>
        <w:drawing>
          <wp:inline xmlns:a="http://schemas.openxmlformats.org/drawingml/2006/main" xmlns:pic="http://schemas.openxmlformats.org/drawingml/2006/picture">
            <wp:extent cx="6309360" cy="5191408"/>
            <wp:docPr id="1" name="Picture 1"/>
            <wp:cNvGraphicFramePr>
              <a:graphicFrameLocks noChangeAspect="1"/>
            </wp:cNvGraphicFramePr>
            <a:graphic>
              <a:graphicData uri="http://schemas.openxmlformats.org/drawingml/2006/picture">
                <pic:pic>
                  <pic:nvPicPr>
                    <pic:cNvPr id="0" name="image(9).png"/>
                    <pic:cNvPicPr/>
                  </pic:nvPicPr>
                  <pic:blipFill>
                    <a:blip r:embed="rId9"/>
                    <a:stretch>
                      <a:fillRect/>
                    </a:stretch>
                  </pic:blipFill>
                  <pic:spPr>
                    <a:xfrm>
                      <a:off x="0" y="0"/>
                      <a:ext cx="6309360" cy="5191408"/>
                    </a:xfrm>
                    <a:prstGeom prst="rect"/>
                  </pic:spPr>
                </pic:pic>
              </a:graphicData>
            </a:graphic>
          </wp:inline>
        </w:drawing>
      </w:r>
    </w:p>
    <w:p>
      <w:r>
        <w:t>Scenario: The website recorded 4,890 sessions through traffic source, landing page, next action, and outcome. The three hidden flows are calculated below using conservation of flow.</w:t>
      </w:r>
    </w:p>
    <w:p>
      <w:pPr>
        <w:pStyle w:val="Heading1"/>
      </w:pPr>
      <w:r>
        <w:t>Question (a): Find the Three Hidden Flows [4 Marks]</w:t>
      </w:r>
    </w:p>
    <w:p>
      <w:r>
        <w:t>Rule used: For each node, total inflow equals total outflow. Therefore, a missing flow equals the node total minus the sum of its other known flows.</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D9EAF7"/>
          </w:tcPr>
          <w:p>
            <w:pPr>
              <w:spacing w:after="20"/>
            </w:pPr>
            <w:r/>
            <w:r>
              <w:rPr>
                <w:rFonts w:ascii="Arial" w:hAnsi="Arial"/>
                <w:b/>
                <w:sz w:val="16"/>
              </w:rPr>
              <w:t>Hidden flow</w:t>
            </w:r>
          </w:p>
        </w:tc>
        <w:tc>
          <w:tcPr>
            <w:tcW w:type="dxa" w:w="6048"/>
            <w:vAlign w:val="center"/>
            <w:shd w:fill="D9EAF7"/>
          </w:tcPr>
          <w:p>
            <w:pPr>
              <w:spacing w:after="20"/>
            </w:pPr>
            <w:r/>
            <w:r>
              <w:rPr>
                <w:rFonts w:ascii="Arial" w:hAnsi="Arial"/>
                <w:b/>
                <w:sz w:val="16"/>
              </w:rPr>
              <w:t>Working</w:t>
            </w:r>
          </w:p>
        </w:tc>
        <w:tc>
          <w:tcPr>
            <w:tcW w:type="dxa" w:w="1728"/>
            <w:vAlign w:val="center"/>
            <w:shd w:fill="D9EAF7"/>
          </w:tcPr>
          <w:p>
            <w:pPr>
              <w:spacing w:after="20"/>
            </w:pPr>
            <w:r/>
            <w:r>
              <w:rPr>
                <w:rFonts w:ascii="Arial" w:hAnsi="Arial"/>
                <w:b/>
                <w:sz w:val="16"/>
              </w:rPr>
              <w:t>Answer</w:t>
            </w:r>
          </w:p>
        </w:tc>
      </w:tr>
      <w:tr>
        <w:tc>
          <w:tcPr>
            <w:tcW w:type="dxa" w:w="2880"/>
            <w:vAlign w:val="center"/>
          </w:tcPr>
          <w:p>
            <w:pPr>
              <w:spacing w:after="20"/>
            </w:pPr>
            <w:r/>
            <w:r>
              <w:rPr>
                <w:rFonts w:ascii="Arial" w:hAnsi="Arial"/>
                <w:b w:val="0"/>
                <w:sz w:val="16"/>
              </w:rPr>
              <w:t>Social media → Home page</w:t>
            </w:r>
          </w:p>
        </w:tc>
        <w:tc>
          <w:tcPr>
            <w:tcW w:type="dxa" w:w="6048"/>
            <w:vAlign w:val="center"/>
          </w:tcPr>
          <w:p>
            <w:pPr>
              <w:spacing w:after="20"/>
            </w:pPr>
            <w:r/>
            <w:r>
              <w:rPr>
                <w:rFonts w:ascii="Arial" w:hAnsi="Arial"/>
                <w:b w:val="0"/>
                <w:sz w:val="16"/>
              </w:rPr>
              <w:t>Social media total = 2,054. Known flows: 698 to Deals page and 350 to Flights page. 2,054 − 698 − 350 = 1,006.</w:t>
            </w:r>
          </w:p>
        </w:tc>
        <w:tc>
          <w:tcPr>
            <w:tcW w:type="dxa" w:w="1728"/>
            <w:vAlign w:val="center"/>
          </w:tcPr>
          <w:p>
            <w:pPr>
              <w:spacing w:after="20"/>
            </w:pPr>
            <w:r/>
            <w:r>
              <w:rPr>
                <w:rFonts w:ascii="Arial" w:hAnsi="Arial"/>
                <w:b w:val="0"/>
                <w:sz w:val="16"/>
              </w:rPr>
              <w:t>1,006 sessions</w:t>
            </w:r>
          </w:p>
        </w:tc>
      </w:tr>
      <w:tr>
        <w:tc>
          <w:tcPr>
            <w:tcW w:type="dxa" w:w="2880"/>
            <w:vAlign w:val="center"/>
          </w:tcPr>
          <w:p>
            <w:pPr>
              <w:spacing w:after="20"/>
            </w:pPr>
            <w:r/>
            <w:r>
              <w:rPr>
                <w:rFonts w:ascii="Arial" w:hAnsi="Arial"/>
                <w:b w:val="0"/>
                <w:sz w:val="16"/>
              </w:rPr>
              <w:t>Travel blog → Home page</w:t>
            </w:r>
          </w:p>
        </w:tc>
        <w:tc>
          <w:tcPr>
            <w:tcW w:type="dxa" w:w="6048"/>
            <w:vAlign w:val="center"/>
          </w:tcPr>
          <w:p>
            <w:pPr>
              <w:spacing w:after="20"/>
            </w:pPr>
            <w:r/>
            <w:r>
              <w:rPr>
                <w:rFonts w:ascii="Arial" w:hAnsi="Arial"/>
                <w:b w:val="0"/>
                <w:sz w:val="16"/>
              </w:rPr>
              <w:t>Travel blog total = 1,124. Known flows: 236 to Deals page and 382 to Flights page. 1,124 − 236 − 382 = 506.</w:t>
            </w:r>
          </w:p>
        </w:tc>
        <w:tc>
          <w:tcPr>
            <w:tcW w:type="dxa" w:w="1728"/>
            <w:vAlign w:val="center"/>
          </w:tcPr>
          <w:p>
            <w:pPr>
              <w:spacing w:after="20"/>
            </w:pPr>
            <w:r/>
            <w:r>
              <w:rPr>
                <w:rFonts w:ascii="Arial" w:hAnsi="Arial"/>
                <w:b w:val="0"/>
                <w:sz w:val="16"/>
              </w:rPr>
              <w:t>506 sessions</w:t>
            </w:r>
          </w:p>
        </w:tc>
      </w:tr>
      <w:tr>
        <w:tc>
          <w:tcPr>
            <w:tcW w:type="dxa" w:w="2880"/>
            <w:vAlign w:val="center"/>
          </w:tcPr>
          <w:p>
            <w:pPr>
              <w:spacing w:after="20"/>
            </w:pPr>
            <w:r/>
            <w:r>
              <w:rPr>
                <w:rFonts w:ascii="Arial" w:hAnsi="Arial"/>
                <w:b w:val="0"/>
                <w:sz w:val="16"/>
              </w:rPr>
              <w:t>Deals page → Enter traveller details</w:t>
            </w:r>
          </w:p>
        </w:tc>
        <w:tc>
          <w:tcPr>
            <w:tcW w:type="dxa" w:w="6048"/>
            <w:vAlign w:val="center"/>
          </w:tcPr>
          <w:p>
            <w:pPr>
              <w:spacing w:after="20"/>
            </w:pPr>
            <w:r/>
            <w:r>
              <w:rPr>
                <w:rFonts w:ascii="Arial" w:hAnsi="Arial"/>
                <w:b w:val="0"/>
                <w:sz w:val="16"/>
              </w:rPr>
              <w:t>Deals page total = 1,294. Known flows: 429 to Search dates and 362 to Exit site. 1,294 − 429 − 362 = 503.</w:t>
            </w:r>
          </w:p>
        </w:tc>
        <w:tc>
          <w:tcPr>
            <w:tcW w:type="dxa" w:w="1728"/>
            <w:vAlign w:val="center"/>
          </w:tcPr>
          <w:p>
            <w:pPr>
              <w:spacing w:after="20"/>
            </w:pPr>
            <w:r/>
            <w:r>
              <w:rPr>
                <w:rFonts w:ascii="Arial" w:hAnsi="Arial"/>
                <w:b w:val="0"/>
                <w:sz w:val="16"/>
              </w:rPr>
              <w:t>503 sessions</w:t>
            </w:r>
          </w:p>
        </w:tc>
      </w:tr>
    </w:tbl>
    <w:p>
      <w:pPr>
        <w:spacing w:after="20"/>
      </w:pPr>
    </w:p>
    <w:p>
      <w:pPr>
        <w:pStyle w:val="Heading1"/>
      </w:pPr>
      <w:r>
        <w:t>Question (b): Compute the Required Statistics [4 Marks]</w:t>
      </w:r>
    </w:p>
    <w:p>
      <w:pPr>
        <w:pStyle w:val="Heading2"/>
      </w:pPr>
      <w:r>
        <w:t>(i) Overall conversion rate</w:t>
      </w:r>
    </w:p>
    <w:p>
      <w:r>
        <w:t>Formula: Conversion rate = (Sessions with Booking paid ÷ Total sessions) × 100</w:t>
      </w:r>
    </w:p>
    <w:p>
      <w:r>
        <w:t>Calculation: (1,069 ÷ 4,890) × 100 = 21.86% (approximately).</w:t>
      </w:r>
    </w:p>
    <w:p>
      <w:r>
        <w:t>Answer: The overall conversion rate is approximately 21.9%.</w:t>
      </w:r>
    </w:p>
    <w:p>
      <w:pPr>
        <w:pStyle w:val="Heading2"/>
      </w:pPr>
      <w:r>
        <w:t>(ii) Largest single flow into “No booking” or “Exit site”</w:t>
      </w:r>
    </w:p>
    <w:p>
      <w:r>
        <w:t>The diagram shows 1,361 sessions from Search dates to No booking, 899 from Enter traveller details to No booking, and 1,561 from Exit site to No booking. The largest of these is 1,561 sessions from Exit site to No booking.</w:t>
      </w:r>
    </w:p>
    <w:p>
      <w:pPr>
        <w:pStyle w:val="Heading2"/>
      </w:pPr>
      <w:r>
        <w:t>(iii) Percentage of Flights page sessions that go to Search dates</w:t>
      </w:r>
    </w:p>
    <w:p>
      <w:r>
        <w:t>Formula: (Flights page → Search dates ÷ Total Flights page sessions) × 100</w:t>
      </w:r>
    </w:p>
    <w:p>
      <w:r>
        <w:t>Calculation: (352 ÷ 1,177) × 100 = 29.91% (approximately).</w:t>
      </w:r>
    </w:p>
    <w:p>
      <w:r>
        <w:t>Answer: Approximately 29.9% of Flights page sessions go on to Search dates.</w:t>
      </w:r>
    </w:p>
    <w:p>
      <w:pPr>
        <w:pStyle w:val="Heading1"/>
      </w:pPr>
      <w:r>
        <w:t>Question (c): Four Design Decisions [4 Marks]</w:t>
      </w:r>
    </w:p>
    <w:tbl>
      <w:tblPr>
        <w:tblStyle w:val="TableGrid"/>
        <w:tblW w:type="auto" w:w="0"/>
        <w:jc w:val="center"/>
        <w:tblLook w:firstColumn="1" w:firstRow="1" w:lastColumn="0" w:lastRow="0" w:noHBand="0" w:noVBand="1" w:val="04A0"/>
      </w:tblPr>
      <w:tblGrid>
        <w:gridCol w:w="3456"/>
        <w:gridCol w:w="3456"/>
        <w:gridCol w:w="3456"/>
      </w:tblGrid>
      <w:tr>
        <w:tc>
          <w:tcPr>
            <w:tcW w:type="dxa" w:w="648"/>
            <w:vAlign w:val="center"/>
            <w:shd w:fill="D9EAF7"/>
          </w:tcPr>
          <w:p>
            <w:pPr>
              <w:spacing w:after="20"/>
            </w:pPr>
            <w:r/>
            <w:r>
              <w:rPr>
                <w:rFonts w:ascii="Arial" w:hAnsi="Arial"/>
                <w:b/>
                <w:sz w:val="16"/>
              </w:rPr>
              <w:t>No.</w:t>
            </w:r>
          </w:p>
        </w:tc>
        <w:tc>
          <w:tcPr>
            <w:tcW w:type="dxa" w:w="3600"/>
            <w:vAlign w:val="center"/>
            <w:shd w:fill="D9EAF7"/>
          </w:tcPr>
          <w:p>
            <w:pPr>
              <w:spacing w:after="20"/>
            </w:pPr>
            <w:r/>
            <w:r>
              <w:rPr>
                <w:rFonts w:ascii="Arial" w:hAnsi="Arial"/>
                <w:b/>
                <w:sz w:val="16"/>
              </w:rPr>
              <w:t>Design decision</w:t>
            </w:r>
          </w:p>
        </w:tc>
        <w:tc>
          <w:tcPr>
            <w:tcW w:type="dxa" w:w="6480"/>
            <w:vAlign w:val="center"/>
            <w:shd w:fill="D9EAF7"/>
          </w:tcPr>
          <w:p>
            <w:pPr>
              <w:spacing w:after="20"/>
            </w:pPr>
            <w:r/>
            <w:r>
              <w:rPr>
                <w:rFonts w:ascii="Arial" w:hAnsi="Arial"/>
                <w:b/>
                <w:sz w:val="16"/>
              </w:rPr>
              <w:t>Justification</w:t>
            </w:r>
          </w:p>
        </w:tc>
      </w:tr>
      <w:tr>
        <w:tc>
          <w:tcPr>
            <w:tcW w:type="dxa" w:w="648"/>
            <w:vAlign w:val="center"/>
          </w:tcPr>
          <w:p>
            <w:pPr>
              <w:spacing w:after="20"/>
            </w:pPr>
            <w:r/>
            <w:r>
              <w:rPr>
                <w:rFonts w:ascii="Arial" w:hAnsi="Arial"/>
                <w:b w:val="0"/>
                <w:sz w:val="16"/>
              </w:rPr>
              <w:t>1</w:t>
            </w:r>
          </w:p>
        </w:tc>
        <w:tc>
          <w:tcPr>
            <w:tcW w:type="dxa" w:w="3600"/>
            <w:vAlign w:val="center"/>
          </w:tcPr>
          <w:p>
            <w:pPr>
              <w:spacing w:after="20"/>
            </w:pPr>
            <w:r/>
            <w:r>
              <w:rPr>
                <w:rFonts w:ascii="Arial" w:hAnsi="Arial"/>
                <w:b w:val="0"/>
                <w:sz w:val="16"/>
              </w:rPr>
              <w:t>Keep nodes in stage order: Traffic source → Landing page → Next action → Outcome.</w:t>
            </w:r>
          </w:p>
        </w:tc>
        <w:tc>
          <w:tcPr>
            <w:tcW w:type="dxa" w:w="6480"/>
            <w:vAlign w:val="center"/>
          </w:tcPr>
          <w:p>
            <w:pPr>
              <w:spacing w:after="20"/>
            </w:pPr>
            <w:r/>
            <w:r>
              <w:rPr>
                <w:rFonts w:ascii="Arial" w:hAnsi="Arial"/>
                <w:b w:val="0"/>
                <w:sz w:val="16"/>
              </w:rPr>
              <w:t>This preserves the user's journey and makes the four stages easy to follow.</w:t>
            </w:r>
          </w:p>
        </w:tc>
      </w:tr>
      <w:tr>
        <w:tc>
          <w:tcPr>
            <w:tcW w:type="dxa" w:w="648"/>
            <w:vAlign w:val="center"/>
          </w:tcPr>
          <w:p>
            <w:pPr>
              <w:spacing w:after="20"/>
            </w:pPr>
            <w:r/>
            <w:r>
              <w:rPr>
                <w:rFonts w:ascii="Arial" w:hAnsi="Arial"/>
                <w:b w:val="0"/>
                <w:sz w:val="16"/>
              </w:rPr>
              <w:t>2</w:t>
            </w:r>
          </w:p>
        </w:tc>
        <w:tc>
          <w:tcPr>
            <w:tcW w:type="dxa" w:w="3600"/>
            <w:vAlign w:val="center"/>
          </w:tcPr>
          <w:p>
            <w:pPr>
              <w:spacing w:after="20"/>
            </w:pPr>
            <w:r/>
            <w:r>
              <w:rPr>
                <w:rFonts w:ascii="Arial" w:hAnsi="Arial"/>
                <w:b w:val="0"/>
                <w:sz w:val="16"/>
              </w:rPr>
              <w:t>Use one consistent colour per traffic source, or use a restrained colour rule for outcomes.</w:t>
            </w:r>
          </w:p>
        </w:tc>
        <w:tc>
          <w:tcPr>
            <w:tcW w:type="dxa" w:w="6480"/>
            <w:vAlign w:val="center"/>
          </w:tcPr>
          <w:p>
            <w:pPr>
              <w:spacing w:after="20"/>
            </w:pPr>
            <w:r/>
            <w:r>
              <w:rPr>
                <w:rFonts w:ascii="Arial" w:hAnsi="Arial"/>
                <w:b w:val="0"/>
                <w:sz w:val="16"/>
              </w:rPr>
              <w:t>Consistent colours help readers trace flows without confusing categories.</w:t>
            </w:r>
          </w:p>
        </w:tc>
      </w:tr>
      <w:tr>
        <w:tc>
          <w:tcPr>
            <w:tcW w:type="dxa" w:w="648"/>
            <w:vAlign w:val="center"/>
          </w:tcPr>
          <w:p>
            <w:pPr>
              <w:spacing w:after="20"/>
            </w:pPr>
            <w:r/>
            <w:r>
              <w:rPr>
                <w:rFonts w:ascii="Arial" w:hAnsi="Arial"/>
                <w:b w:val="0"/>
                <w:sz w:val="16"/>
              </w:rPr>
              <w:t>3</w:t>
            </w:r>
          </w:p>
        </w:tc>
        <w:tc>
          <w:tcPr>
            <w:tcW w:type="dxa" w:w="3600"/>
            <w:vAlign w:val="center"/>
          </w:tcPr>
          <w:p>
            <w:pPr>
              <w:spacing w:after="20"/>
            </w:pPr>
            <w:r/>
            <w:r>
              <w:rPr>
                <w:rFonts w:ascii="Arial" w:hAnsi="Arial"/>
                <w:b w:val="0"/>
                <w:sz w:val="16"/>
              </w:rPr>
              <w:t>Label every node with its name and total sessions; label important links with counts.</w:t>
            </w:r>
          </w:p>
        </w:tc>
        <w:tc>
          <w:tcPr>
            <w:tcW w:type="dxa" w:w="6480"/>
            <w:vAlign w:val="center"/>
          </w:tcPr>
          <w:p>
            <w:pPr>
              <w:spacing w:after="20"/>
            </w:pPr>
            <w:r/>
            <w:r>
              <w:rPr>
                <w:rFonts w:ascii="Arial" w:hAnsi="Arial"/>
                <w:b w:val="0"/>
                <w:sz w:val="16"/>
              </w:rPr>
              <w:t>Totals such as 2,054 Social media sessions and 1,069 bookings give context to the flow widths.</w:t>
            </w:r>
          </w:p>
        </w:tc>
      </w:tr>
      <w:tr>
        <w:tc>
          <w:tcPr>
            <w:tcW w:type="dxa" w:w="648"/>
            <w:vAlign w:val="center"/>
          </w:tcPr>
          <w:p>
            <w:pPr>
              <w:spacing w:after="20"/>
            </w:pPr>
            <w:r/>
            <w:r>
              <w:rPr>
                <w:rFonts w:ascii="Arial" w:hAnsi="Arial"/>
                <w:b w:val="0"/>
                <w:sz w:val="16"/>
              </w:rPr>
              <w:t>4</w:t>
            </w:r>
          </w:p>
        </w:tc>
        <w:tc>
          <w:tcPr>
            <w:tcW w:type="dxa" w:w="3600"/>
            <w:vAlign w:val="center"/>
          </w:tcPr>
          <w:p>
            <w:pPr>
              <w:spacing w:after="20"/>
            </w:pPr>
            <w:r/>
            <w:r>
              <w:rPr>
                <w:rFonts w:ascii="Arial" w:hAnsi="Arial"/>
                <w:b w:val="0"/>
                <w:sz w:val="16"/>
              </w:rPr>
              <w:t>Highlight the Booking paid outcome and the largest loss flow of 1,561 sessions.</w:t>
            </w:r>
          </w:p>
        </w:tc>
        <w:tc>
          <w:tcPr>
            <w:tcW w:type="dxa" w:w="6480"/>
            <w:vAlign w:val="center"/>
          </w:tcPr>
          <w:p>
            <w:pPr>
              <w:spacing w:after="20"/>
            </w:pPr>
            <w:r/>
            <w:r>
              <w:rPr>
                <w:rFonts w:ascii="Arial" w:hAnsi="Arial"/>
                <w:b w:val="0"/>
                <w:sz w:val="16"/>
              </w:rPr>
              <w:t>This draws attention to conversion (1,069 bookings) and the biggest drop-off (Exit site).</w:t>
            </w:r>
          </w:p>
        </w:tc>
      </w:tr>
    </w:tbl>
    <w:p>
      <w:pPr>
        <w:spacing w:after="20"/>
      </w:pPr>
    </w:p>
    <w:p>
      <w:pPr>
        <w:pStyle w:val="Heading1"/>
      </w:pPr>
      <w:r>
        <w:t>Question (d): Landing-Page Node Heights [2 Marks]</w:t>
      </w:r>
    </w:p>
    <w:p>
      <w:r>
        <w:t>Scale: 1 cm represents 200 sessions. Height (cm) = number of sessions ÷ 200.</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vAlign w:val="center"/>
            <w:shd w:fill="D9EAF7"/>
          </w:tcPr>
          <w:p>
            <w:pPr>
              <w:spacing w:after="20"/>
            </w:pPr>
            <w:r/>
            <w:r>
              <w:rPr>
                <w:rFonts w:ascii="Arial" w:hAnsi="Arial"/>
                <w:b/>
                <w:sz w:val="18"/>
              </w:rPr>
              <w:t>Landing-page node</w:t>
            </w:r>
          </w:p>
        </w:tc>
        <w:tc>
          <w:tcPr>
            <w:tcW w:type="dxa" w:w="1584"/>
            <w:vAlign w:val="center"/>
            <w:shd w:fill="D9EAF7"/>
          </w:tcPr>
          <w:p>
            <w:pPr>
              <w:spacing w:after="20"/>
            </w:pPr>
            <w:r/>
            <w:r>
              <w:rPr>
                <w:rFonts w:ascii="Arial" w:hAnsi="Arial"/>
                <w:b/>
                <w:sz w:val="18"/>
              </w:rPr>
              <w:t>Sessions</w:t>
            </w:r>
          </w:p>
        </w:tc>
        <w:tc>
          <w:tcPr>
            <w:tcW w:type="dxa" w:w="3168"/>
            <w:vAlign w:val="center"/>
            <w:shd w:fill="D9EAF7"/>
          </w:tcPr>
          <w:p>
            <w:pPr>
              <w:spacing w:after="20"/>
            </w:pPr>
            <w:r/>
            <w:r>
              <w:rPr>
                <w:rFonts w:ascii="Arial" w:hAnsi="Arial"/>
                <w:b/>
                <w:sz w:val="18"/>
              </w:rPr>
              <w:t>Calculation</w:t>
            </w:r>
          </w:p>
        </w:tc>
        <w:tc>
          <w:tcPr>
            <w:tcW w:type="dxa" w:w="2304"/>
            <w:vAlign w:val="center"/>
            <w:shd w:fill="D9EAF7"/>
          </w:tcPr>
          <w:p>
            <w:pPr>
              <w:spacing w:after="20"/>
            </w:pPr>
            <w:r/>
            <w:r>
              <w:rPr>
                <w:rFonts w:ascii="Arial" w:hAnsi="Arial"/>
                <w:b/>
                <w:sz w:val="18"/>
              </w:rPr>
              <w:t>Height</w:t>
            </w:r>
          </w:p>
        </w:tc>
      </w:tr>
      <w:tr>
        <w:tc>
          <w:tcPr>
            <w:tcW w:type="dxa" w:w="2448"/>
            <w:vAlign w:val="center"/>
          </w:tcPr>
          <w:p>
            <w:pPr>
              <w:spacing w:after="20"/>
            </w:pPr>
            <w:r/>
            <w:r>
              <w:rPr>
                <w:rFonts w:ascii="Arial" w:hAnsi="Arial"/>
                <w:b w:val="0"/>
                <w:sz w:val="18"/>
              </w:rPr>
              <w:t>Deals page</w:t>
            </w:r>
          </w:p>
        </w:tc>
        <w:tc>
          <w:tcPr>
            <w:tcW w:type="dxa" w:w="1584"/>
            <w:vAlign w:val="center"/>
          </w:tcPr>
          <w:p>
            <w:pPr>
              <w:spacing w:after="20"/>
            </w:pPr>
            <w:r/>
            <w:r>
              <w:rPr>
                <w:rFonts w:ascii="Arial" w:hAnsi="Arial"/>
                <w:b w:val="0"/>
                <w:sz w:val="18"/>
              </w:rPr>
              <w:t>1,294</w:t>
            </w:r>
          </w:p>
        </w:tc>
        <w:tc>
          <w:tcPr>
            <w:tcW w:type="dxa" w:w="3168"/>
            <w:vAlign w:val="center"/>
          </w:tcPr>
          <w:p>
            <w:pPr>
              <w:spacing w:after="20"/>
            </w:pPr>
            <w:r/>
            <w:r>
              <w:rPr>
                <w:rFonts w:ascii="Arial" w:hAnsi="Arial"/>
                <w:b w:val="0"/>
                <w:sz w:val="18"/>
              </w:rPr>
              <w:t>1,294 ÷ 200</w:t>
            </w:r>
          </w:p>
        </w:tc>
        <w:tc>
          <w:tcPr>
            <w:tcW w:type="dxa" w:w="2304"/>
            <w:vAlign w:val="center"/>
          </w:tcPr>
          <w:p>
            <w:pPr>
              <w:spacing w:after="20"/>
            </w:pPr>
            <w:r/>
            <w:r>
              <w:rPr>
                <w:rFonts w:ascii="Arial" w:hAnsi="Arial"/>
                <w:b w:val="0"/>
                <w:sz w:val="18"/>
              </w:rPr>
              <w:t>6.47 cm</w:t>
            </w:r>
          </w:p>
        </w:tc>
      </w:tr>
      <w:tr>
        <w:tc>
          <w:tcPr>
            <w:tcW w:type="dxa" w:w="2448"/>
            <w:vAlign w:val="center"/>
          </w:tcPr>
          <w:p>
            <w:pPr>
              <w:spacing w:after="20"/>
            </w:pPr>
            <w:r/>
            <w:r>
              <w:rPr>
                <w:rFonts w:ascii="Arial" w:hAnsi="Arial"/>
                <w:b w:val="0"/>
                <w:sz w:val="18"/>
              </w:rPr>
              <w:t>Home page</w:t>
            </w:r>
          </w:p>
        </w:tc>
        <w:tc>
          <w:tcPr>
            <w:tcW w:type="dxa" w:w="1584"/>
            <w:vAlign w:val="center"/>
          </w:tcPr>
          <w:p>
            <w:pPr>
              <w:spacing w:after="20"/>
            </w:pPr>
            <w:r/>
            <w:r>
              <w:rPr>
                <w:rFonts w:ascii="Arial" w:hAnsi="Arial"/>
                <w:b w:val="0"/>
                <w:sz w:val="18"/>
              </w:rPr>
              <w:t>2,419</w:t>
            </w:r>
          </w:p>
        </w:tc>
        <w:tc>
          <w:tcPr>
            <w:tcW w:type="dxa" w:w="3168"/>
            <w:vAlign w:val="center"/>
          </w:tcPr>
          <w:p>
            <w:pPr>
              <w:spacing w:after="20"/>
            </w:pPr>
            <w:r/>
            <w:r>
              <w:rPr>
                <w:rFonts w:ascii="Arial" w:hAnsi="Arial"/>
                <w:b w:val="0"/>
                <w:sz w:val="18"/>
              </w:rPr>
              <w:t>2,419 ÷ 200</w:t>
            </w:r>
          </w:p>
        </w:tc>
        <w:tc>
          <w:tcPr>
            <w:tcW w:type="dxa" w:w="2304"/>
            <w:vAlign w:val="center"/>
          </w:tcPr>
          <w:p>
            <w:pPr>
              <w:spacing w:after="20"/>
            </w:pPr>
            <w:r/>
            <w:r>
              <w:rPr>
                <w:rFonts w:ascii="Arial" w:hAnsi="Arial"/>
                <w:b w:val="0"/>
                <w:sz w:val="18"/>
              </w:rPr>
              <w:t>12.095 cm (≈ 12.10 cm)</w:t>
            </w:r>
          </w:p>
        </w:tc>
      </w:tr>
      <w:tr>
        <w:tc>
          <w:tcPr>
            <w:tcW w:type="dxa" w:w="2448"/>
            <w:vAlign w:val="center"/>
          </w:tcPr>
          <w:p>
            <w:pPr>
              <w:spacing w:after="20"/>
            </w:pPr>
            <w:r/>
            <w:r>
              <w:rPr>
                <w:rFonts w:ascii="Arial" w:hAnsi="Arial"/>
                <w:b w:val="0"/>
                <w:sz w:val="18"/>
              </w:rPr>
              <w:t>Flights page</w:t>
            </w:r>
          </w:p>
        </w:tc>
        <w:tc>
          <w:tcPr>
            <w:tcW w:type="dxa" w:w="1584"/>
            <w:vAlign w:val="center"/>
          </w:tcPr>
          <w:p>
            <w:pPr>
              <w:spacing w:after="20"/>
            </w:pPr>
            <w:r/>
            <w:r>
              <w:rPr>
                <w:rFonts w:ascii="Arial" w:hAnsi="Arial"/>
                <w:b w:val="0"/>
                <w:sz w:val="18"/>
              </w:rPr>
              <w:t>1,177</w:t>
            </w:r>
          </w:p>
        </w:tc>
        <w:tc>
          <w:tcPr>
            <w:tcW w:type="dxa" w:w="3168"/>
            <w:vAlign w:val="center"/>
          </w:tcPr>
          <w:p>
            <w:pPr>
              <w:spacing w:after="20"/>
            </w:pPr>
            <w:r/>
            <w:r>
              <w:rPr>
                <w:rFonts w:ascii="Arial" w:hAnsi="Arial"/>
                <w:b w:val="0"/>
                <w:sz w:val="18"/>
              </w:rPr>
              <w:t>1,177 ÷ 200</w:t>
            </w:r>
          </w:p>
        </w:tc>
        <w:tc>
          <w:tcPr>
            <w:tcW w:type="dxa" w:w="2304"/>
            <w:vAlign w:val="center"/>
          </w:tcPr>
          <w:p>
            <w:pPr>
              <w:spacing w:after="20"/>
            </w:pPr>
            <w:r/>
            <w:r>
              <w:rPr>
                <w:rFonts w:ascii="Arial" w:hAnsi="Arial"/>
                <w:b w:val="0"/>
                <w:sz w:val="18"/>
              </w:rPr>
              <w:t>5.885 cm (≈ 5.89 cm)</w:t>
            </w:r>
          </w:p>
        </w:tc>
      </w:tr>
    </w:tbl>
    <w:p>
      <w:pPr>
        <w:spacing w:after="20"/>
      </w:pPr>
    </w:p>
    <w:p>
      <w:pPr>
        <w:pStyle w:val="Heading1"/>
      </w:pPr>
      <w:r>
        <w:t>Question (e): R Code to Draw the Sankey Diagram [4 Marks]</w:t>
      </w:r>
    </w:p>
    <w:p>
      <w:r>
        <w:t>The code below uses the networkD3 package. networkD3 expects source and target indices to start at 0, so the code subtracts 1 from the node indices. It includes all flows in the diagram; the first four links are the first four source-to-landing flows in diagram order.</w:t>
      </w:r>
    </w:p>
    <w:p>
      <w:pPr>
        <w:ind w:left="216"/>
      </w:pPr>
      <w:r>
        <w:rPr>
          <w:rFonts w:ascii="Consolas" w:hAnsi="Consolas"/>
          <w:sz w:val="15"/>
        </w:rPr>
        <w:t># Install these packages once if they are not already installed</w:t>
        <w:br/>
      </w:r>
      <w:r>
        <w:rPr>
          <w:rFonts w:ascii="Consolas" w:hAnsi="Consolas"/>
          <w:sz w:val="15"/>
        </w:rPr>
        <w:t>install.packages("networkD3")</w:t>
        <w:br/>
      </w:r>
      <w:r>
        <w:rPr>
          <w:rFonts w:ascii="Consolas" w:hAnsi="Consolas"/>
          <w:sz w:val="15"/>
        </w:rPr>
        <w:t>install.packages("htmlwidgets")</w:t>
        <w:br/>
      </w:r>
      <w:r>
        <w:rPr>
          <w:rFonts w:ascii="Consolas" w:hAnsi="Consolas"/>
          <w:sz w:val="15"/>
        </w:rPr>
        <w:br/>
      </w:r>
      <w:r>
        <w:rPr>
          <w:rFonts w:ascii="Consolas" w:hAnsi="Consolas"/>
          <w:sz w:val="15"/>
        </w:rPr>
        <w:t>library(networkD3)</w:t>
        <w:br/>
      </w:r>
      <w:r>
        <w:rPr>
          <w:rFonts w:ascii="Consolas" w:hAnsi="Consolas"/>
          <w:sz w:val="15"/>
        </w:rPr>
        <w:t>library(htmlwidgets)</w:t>
        <w:br/>
      </w:r>
      <w:r>
        <w:rPr>
          <w:rFonts w:ascii="Consolas" w:hAnsi="Consolas"/>
          <w:sz w:val="15"/>
        </w:rPr>
        <w:br/>
      </w:r>
      <w:r>
        <w:rPr>
          <w:rFonts w:ascii="Consolas" w:hAnsi="Consolas"/>
          <w:sz w:val="15"/>
        </w:rPr>
        <w:t># Nodes are listed in stage order.</w:t>
        <w:br/>
      </w:r>
      <w:r>
        <w:rPr>
          <w:rFonts w:ascii="Consolas" w:hAnsi="Consolas"/>
          <w:sz w:val="15"/>
        </w:rPr>
        <w:t>nodes &lt;- data.frame(</w:t>
        <w:br/>
      </w:r>
      <w:r>
        <w:rPr>
          <w:rFonts w:ascii="Consolas" w:hAnsi="Consolas"/>
          <w:sz w:val="15"/>
        </w:rPr>
        <w:t xml:space="preserve">  name = c(</w:t>
        <w:br/>
      </w:r>
      <w:r>
        <w:rPr>
          <w:rFonts w:ascii="Consolas" w:hAnsi="Consolas"/>
          <w:sz w:val="15"/>
        </w:rPr>
        <w:t xml:space="preserve">    "Social media", "Search engine", "Travel blog",</w:t>
        <w:br/>
      </w:r>
      <w:r>
        <w:rPr>
          <w:rFonts w:ascii="Consolas" w:hAnsi="Consolas"/>
          <w:sz w:val="15"/>
        </w:rPr>
        <w:t xml:space="preserve">    "Deals page", "Home page", "Flights page",</w:t>
        <w:br/>
      </w:r>
      <w:r>
        <w:rPr>
          <w:rFonts w:ascii="Consolas" w:hAnsi="Consolas"/>
          <w:sz w:val="15"/>
        </w:rPr>
        <w:t xml:space="preserve">    "Search dates", "Enter traveller details", "Exit site",</w:t>
        <w:br/>
      </w:r>
      <w:r>
        <w:rPr>
          <w:rFonts w:ascii="Consolas" w:hAnsi="Consolas"/>
          <w:sz w:val="15"/>
        </w:rPr>
        <w:t xml:space="preserve">    "Booking paid", "No booking"</w:t>
        <w:br/>
      </w:r>
      <w:r>
        <w:rPr>
          <w:rFonts w:ascii="Consolas" w:hAnsi="Consolas"/>
          <w:sz w:val="15"/>
        </w:rPr>
        <w:t xml:space="preserve">  )</w:t>
        <w:br/>
      </w:r>
      <w:r>
        <w:rPr>
          <w:rFonts w:ascii="Consolas" w:hAnsi="Consolas"/>
          <w:sz w:val="15"/>
        </w:rPr>
        <w:t>)</w:t>
        <w:br/>
      </w:r>
      <w:r>
        <w:rPr>
          <w:rFonts w:ascii="Consolas" w:hAnsi="Consolas"/>
          <w:sz w:val="15"/>
        </w:rPr>
        <w:br/>
      </w:r>
      <w:r>
        <w:rPr>
          <w:rFonts w:ascii="Consolas" w:hAnsi="Consolas"/>
          <w:sz w:val="15"/>
        </w:rPr>
        <w:t># Link order starts with flows from Social media and Search engine.</w:t>
        <w:br/>
      </w:r>
      <w:r>
        <w:rPr>
          <w:rFonts w:ascii="Consolas" w:hAnsi="Consolas"/>
          <w:sz w:val="15"/>
        </w:rPr>
        <w:t># Source/target values below are 1-based node positions for readability.</w:t>
        <w:br/>
      </w:r>
      <w:r>
        <w:rPr>
          <w:rFonts w:ascii="Consolas" w:hAnsi="Consolas"/>
          <w:sz w:val="15"/>
        </w:rPr>
        <w:t>links &lt;- data.frame(</w:t>
        <w:br/>
      </w:r>
      <w:r>
        <w:rPr>
          <w:rFonts w:ascii="Consolas" w:hAnsi="Consolas"/>
          <w:sz w:val="15"/>
        </w:rPr>
        <w:t xml:space="preserve">  source = c(</w:t>
        <w:br/>
      </w:r>
      <w:r>
        <w:rPr>
          <w:rFonts w:ascii="Consolas" w:hAnsi="Consolas"/>
          <w:sz w:val="15"/>
        </w:rPr>
        <w:t xml:space="preserve">    1, 1, 1, 2, 2, 2, 3, 3, 3,</w:t>
        <w:br/>
      </w:r>
      <w:r>
        <w:rPr>
          <w:rFonts w:ascii="Consolas" w:hAnsi="Consolas"/>
          <w:sz w:val="15"/>
        </w:rPr>
        <w:t xml:space="preserve">    4, 4, 4, 5, 5, 5, 6, 6, 6,</w:t>
        <w:br/>
      </w:r>
      <w:r>
        <w:rPr>
          <w:rFonts w:ascii="Consolas" w:hAnsi="Consolas"/>
          <w:sz w:val="15"/>
        </w:rPr>
        <w:t xml:space="preserve">    7, 7, 8</w:t>
        <w:br/>
      </w:r>
      <w:r>
        <w:rPr>
          <w:rFonts w:ascii="Consolas" w:hAnsi="Consolas"/>
          <w:sz w:val="15"/>
        </w:rPr>
        <w:t xml:space="preserve">  ),</w:t>
        <w:br/>
      </w:r>
      <w:r>
        <w:rPr>
          <w:rFonts w:ascii="Consolas" w:hAnsi="Consolas"/>
          <w:sz w:val="15"/>
        </w:rPr>
        <w:t xml:space="preserve">  target = c(</w:t>
        <w:br/>
      </w:r>
      <w:r>
        <w:rPr>
          <w:rFonts w:ascii="Consolas" w:hAnsi="Consolas"/>
          <w:sz w:val="15"/>
        </w:rPr>
        <w:t xml:space="preserve">    4, 5, 6, 4, 5, 6, 4, 5, 6,</w:t>
        <w:br/>
      </w:r>
      <w:r>
        <w:rPr>
          <w:rFonts w:ascii="Consolas" w:hAnsi="Consolas"/>
          <w:sz w:val="15"/>
        </w:rPr>
        <w:t xml:space="preserve">    7, 8, 9, 7, 8, 9, 7, 8, 9,</w:t>
        <w:br/>
      </w:r>
      <w:r>
        <w:rPr>
          <w:rFonts w:ascii="Consolas" w:hAnsi="Consolas"/>
          <w:sz w:val="15"/>
        </w:rPr>
        <w:t xml:space="preserve">    10, 11, 10</w:t>
        <w:br/>
      </w:r>
      <w:r>
        <w:rPr>
          <w:rFonts w:ascii="Consolas" w:hAnsi="Consolas"/>
          <w:sz w:val="15"/>
        </w:rPr>
        <w:t xml:space="preserve">  ),</w:t>
        <w:br/>
      </w:r>
      <w:r>
        <w:rPr>
          <w:rFonts w:ascii="Consolas" w:hAnsi="Consolas"/>
          <w:sz w:val="15"/>
        </w:rPr>
        <w:t xml:space="preserve">  value = c(</w:t>
        <w:br/>
      </w:r>
      <w:r>
        <w:rPr>
          <w:rFonts w:ascii="Consolas" w:hAnsi="Consolas"/>
          <w:sz w:val="15"/>
        </w:rPr>
        <w:t xml:space="preserve">    698, 1006, 350, 360, 907, 445, 236, 506, 382,</w:t>
        <w:br/>
      </w:r>
      <w:r>
        <w:rPr>
          <w:rFonts w:ascii="Consolas" w:hAnsi="Consolas"/>
          <w:sz w:val="15"/>
        </w:rPr>
        <w:t xml:space="preserve">    429, 503, 362, 942, 655, 822, 352, 448, 377,</w:t>
        <w:br/>
      </w:r>
      <w:r>
        <w:rPr>
          <w:rFonts w:ascii="Consolas" w:hAnsi="Consolas"/>
          <w:sz w:val="15"/>
        </w:rPr>
        <w:t xml:space="preserve">    362, 1361, 707</w:t>
        <w:br/>
      </w:r>
      <w:r>
        <w:rPr>
          <w:rFonts w:ascii="Consolas" w:hAnsi="Consolas"/>
          <w:sz w:val="15"/>
        </w:rPr>
        <w:t xml:space="preserve">  )</w:t>
        <w:br/>
      </w:r>
      <w:r>
        <w:rPr>
          <w:rFonts w:ascii="Consolas" w:hAnsi="Consolas"/>
          <w:sz w:val="15"/>
        </w:rPr>
        <w:t>)</w:t>
        <w:br/>
      </w:r>
      <w:r>
        <w:rPr>
          <w:rFonts w:ascii="Consolas" w:hAnsi="Consolas"/>
          <w:sz w:val="15"/>
        </w:rPr>
        <w:br/>
      </w:r>
      <w:r>
        <w:rPr>
          <w:rFonts w:ascii="Consolas" w:hAnsi="Consolas"/>
          <w:sz w:val="15"/>
        </w:rPr>
        <w:t># networkD3 uses zero-based indices, so subtract 1.</w:t>
        <w:br/>
      </w:r>
      <w:r>
        <w:rPr>
          <w:rFonts w:ascii="Consolas" w:hAnsi="Consolas"/>
          <w:sz w:val="15"/>
        </w:rPr>
        <w:t>links$source &lt;- links$source - 1</w:t>
        <w:br/>
      </w:r>
      <w:r>
        <w:rPr>
          <w:rFonts w:ascii="Consolas" w:hAnsi="Consolas"/>
          <w:sz w:val="15"/>
        </w:rPr>
        <w:t>links$target &lt;- links$target - 1</w:t>
        <w:br/>
      </w:r>
      <w:r>
        <w:rPr>
          <w:rFonts w:ascii="Consolas" w:hAnsi="Consolas"/>
          <w:sz w:val="15"/>
        </w:rPr>
        <w:br/>
      </w:r>
      <w:r>
        <w:rPr>
          <w:rFonts w:ascii="Consolas" w:hAnsi="Consolas"/>
          <w:sz w:val="15"/>
        </w:rPr>
        <w:t>sankeyNetwork(</w:t>
        <w:br/>
      </w:r>
      <w:r>
        <w:rPr>
          <w:rFonts w:ascii="Consolas" w:hAnsi="Consolas"/>
          <w:sz w:val="15"/>
        </w:rPr>
        <w:t xml:space="preserve">  Links = links,</w:t>
        <w:br/>
      </w:r>
      <w:r>
        <w:rPr>
          <w:rFonts w:ascii="Consolas" w:hAnsi="Consolas"/>
          <w:sz w:val="15"/>
        </w:rPr>
        <w:t xml:space="preserve">  Nodes = nodes,</w:t>
        <w:br/>
      </w:r>
      <w:r>
        <w:rPr>
          <w:rFonts w:ascii="Consolas" w:hAnsi="Consolas"/>
          <w:sz w:val="15"/>
        </w:rPr>
        <w:t xml:space="preserve">  Source = "source",</w:t>
        <w:br/>
      </w:r>
      <w:r>
        <w:rPr>
          <w:rFonts w:ascii="Consolas" w:hAnsi="Consolas"/>
          <w:sz w:val="15"/>
        </w:rPr>
        <w:t xml:space="preserve">  Target = "target",</w:t>
        <w:br/>
      </w:r>
      <w:r>
        <w:rPr>
          <w:rFonts w:ascii="Consolas" w:hAnsi="Consolas"/>
          <w:sz w:val="15"/>
        </w:rPr>
        <w:t xml:space="preserve">  Value = "value",</w:t>
        <w:br/>
      </w:r>
      <w:r>
        <w:rPr>
          <w:rFonts w:ascii="Consolas" w:hAnsi="Consolas"/>
          <w:sz w:val="15"/>
        </w:rPr>
        <w:t xml:space="preserve">  NodeID = "name",</w:t>
        <w:br/>
      </w:r>
      <w:r>
        <w:rPr>
          <w:rFonts w:ascii="Consolas" w:hAnsi="Consolas"/>
          <w:sz w:val="15"/>
        </w:rPr>
        <w:t xml:space="preserve">  fontSize = 12,</w:t>
        <w:br/>
      </w:r>
      <w:r>
        <w:rPr>
          <w:rFonts w:ascii="Consolas" w:hAnsi="Consolas"/>
          <w:sz w:val="15"/>
        </w:rPr>
        <w:t xml:space="preserve">  nodeWidth = 25,</w:t>
        <w:br/>
      </w:r>
      <w:r>
        <w:rPr>
          <w:rFonts w:ascii="Consolas" w:hAnsi="Consolas"/>
          <w:sz w:val="15"/>
        </w:rPr>
        <w:t xml:space="preserve">  sinksRight = TRUE</w:t>
        <w:br/>
      </w:r>
      <w:r>
        <w:rPr>
          <w:rFonts w:ascii="Consolas" w:hAnsi="Consolas"/>
          <w:sz w:val="15"/>
        </w:rPr>
        <w:t>)</w:t>
      </w:r>
    </w:p>
    <w:p>
      <w:r>
        <w:t>How to run in RStudio:</w:t>
      </w:r>
    </w:p>
    <w:p>
      <w:pPr>
        <w:pStyle w:val="ListNumber"/>
      </w:pPr>
      <w:r>
        <w:t>Open RStudio and create a new R script (File → New File → R Script).</w:t>
      </w:r>
    </w:p>
    <w:p>
      <w:pPr>
        <w:pStyle w:val="ListNumber"/>
      </w:pPr>
      <w:r>
        <w:t>Copy the complete code above into the script.</w:t>
      </w:r>
    </w:p>
    <w:p>
      <w:pPr>
        <w:pStyle w:val="ListNumber"/>
      </w:pPr>
      <w:r>
        <w:t>Run the install.packages() lines once. If R asks you to select a CRAN mirror, choose one nearby.</w:t>
      </w:r>
    </w:p>
    <w:p>
      <w:pPr>
        <w:pStyle w:val="ListNumber"/>
      </w:pPr>
      <w:r>
        <w:t>Run the remaining lines. The Sankey diagram should appear in the Viewer pane.</w:t>
      </w:r>
    </w:p>
    <w:p>
      <w:pPr>
        <w:pStyle w:val="ListNumber"/>
      </w:pPr>
      <w:r>
        <w:t>Read the diagram from left to right: traffic source, landing page, next action, then outcome. Wider links represent more sessions.</w:t>
      </w:r>
    </w:p>
    <w:p>
      <w:r>
        <w:t>Data check: source totals are 2,054, 1,712, and 1,124; landing-page totals are 1,294, 2,419, and 1,177; next-action totals are 1,723, 1,606, and 1,561; outcome totals are 1,069 and 3,821. Each stage sums to 4,890 sessions.</w:t>
      </w:r>
    </w:p>
    <w:p>
      <w:pPr>
        <w:pStyle w:val="Heading1"/>
      </w:pPr>
      <w:r>
        <w:t>Question (f): Limitations of Sankey Diagrams [2 Marks]</w:t>
      </w:r>
    </w:p>
    <w:tbl>
      <w:tblPr>
        <w:tblStyle w:val="TableGrid"/>
        <w:tblW w:type="auto" w:w="0"/>
        <w:jc w:val="center"/>
        <w:tblLook w:firstColumn="1" w:firstRow="1" w:lastColumn="0" w:lastRow="0" w:noHBand="0" w:noVBand="1" w:val="04A0"/>
      </w:tblPr>
      <w:tblGrid>
        <w:gridCol w:w="3456"/>
        <w:gridCol w:w="3456"/>
        <w:gridCol w:w="3456"/>
      </w:tblGrid>
      <w:tr>
        <w:tc>
          <w:tcPr>
            <w:tcW w:type="dxa" w:w="720"/>
            <w:vAlign w:val="center"/>
            <w:shd w:fill="D9EAF7"/>
          </w:tcPr>
          <w:p>
            <w:pPr>
              <w:spacing w:after="20"/>
            </w:pPr>
            <w:r/>
            <w:r>
              <w:rPr>
                <w:rFonts w:ascii="Arial" w:hAnsi="Arial"/>
                <w:b/>
                <w:sz w:val="18"/>
              </w:rPr>
              <w:t>No.</w:t>
            </w:r>
          </w:p>
        </w:tc>
        <w:tc>
          <w:tcPr>
            <w:tcW w:type="dxa" w:w="5760"/>
            <w:vAlign w:val="center"/>
            <w:shd w:fill="D9EAF7"/>
          </w:tcPr>
          <w:p>
            <w:pPr>
              <w:spacing w:after="20"/>
            </w:pPr>
            <w:r/>
            <w:r>
              <w:rPr>
                <w:rFonts w:ascii="Arial" w:hAnsi="Arial"/>
                <w:b/>
                <w:sz w:val="18"/>
              </w:rPr>
              <w:t>Limitation</w:t>
            </w:r>
          </w:p>
        </w:tc>
        <w:tc>
          <w:tcPr>
            <w:tcW w:type="dxa" w:w="4032"/>
            <w:vAlign w:val="center"/>
            <w:shd w:fill="D9EAF7"/>
          </w:tcPr>
          <w:p>
            <w:pPr>
              <w:spacing w:after="20"/>
            </w:pPr>
            <w:r/>
            <w:r>
              <w:rPr>
                <w:rFonts w:ascii="Arial" w:hAnsi="Arial"/>
                <w:b/>
                <w:sz w:val="18"/>
              </w:rPr>
              <w:t>Suitable alternative chart</w:t>
            </w:r>
          </w:p>
        </w:tc>
      </w:tr>
      <w:tr>
        <w:tc>
          <w:tcPr>
            <w:tcW w:type="dxa" w:w="720"/>
            <w:vAlign w:val="center"/>
          </w:tcPr>
          <w:p>
            <w:pPr>
              <w:spacing w:after="20"/>
            </w:pPr>
            <w:r/>
            <w:r>
              <w:rPr>
                <w:rFonts w:ascii="Arial" w:hAnsi="Arial"/>
                <w:b w:val="0"/>
                <w:sz w:val="18"/>
              </w:rPr>
              <w:t>1</w:t>
            </w:r>
          </w:p>
        </w:tc>
        <w:tc>
          <w:tcPr>
            <w:tcW w:type="dxa" w:w="5760"/>
            <w:vAlign w:val="center"/>
          </w:tcPr>
          <w:p>
            <w:pPr>
              <w:spacing w:after="20"/>
            </w:pPr>
            <w:r/>
            <w:r>
              <w:rPr>
                <w:rFonts w:ascii="Arial" w:hAnsi="Arial"/>
                <w:b w:val="0"/>
                <w:sz w:val="18"/>
              </w:rPr>
              <w:t>When there are many nodes and links, flows overlap and the diagram becomes cluttered.</w:t>
            </w:r>
          </w:p>
        </w:tc>
        <w:tc>
          <w:tcPr>
            <w:tcW w:type="dxa" w:w="4032"/>
            <w:vAlign w:val="center"/>
          </w:tcPr>
          <w:p>
            <w:pPr>
              <w:spacing w:after="20"/>
            </w:pPr>
            <w:r/>
            <w:r>
              <w:rPr>
                <w:rFonts w:ascii="Arial" w:hAnsi="Arial"/>
                <w:b w:val="0"/>
                <w:sz w:val="18"/>
              </w:rPr>
              <w:t>A grouped bar chart or heat map.</w:t>
            </w:r>
          </w:p>
        </w:tc>
      </w:tr>
      <w:tr>
        <w:tc>
          <w:tcPr>
            <w:tcW w:type="dxa" w:w="720"/>
            <w:vAlign w:val="center"/>
          </w:tcPr>
          <w:p>
            <w:pPr>
              <w:spacing w:after="20"/>
            </w:pPr>
            <w:r/>
            <w:r>
              <w:rPr>
                <w:rFonts w:ascii="Arial" w:hAnsi="Arial"/>
                <w:b w:val="0"/>
                <w:sz w:val="18"/>
              </w:rPr>
              <w:t>2</w:t>
            </w:r>
          </w:p>
        </w:tc>
        <w:tc>
          <w:tcPr>
            <w:tcW w:type="dxa" w:w="5760"/>
            <w:vAlign w:val="center"/>
          </w:tcPr>
          <w:p>
            <w:pPr>
              <w:spacing w:after="20"/>
            </w:pPr>
            <w:r/>
            <w:r>
              <w:rPr>
                <w:rFonts w:ascii="Arial" w:hAnsi="Arial"/>
                <w:b w:val="0"/>
                <w:sz w:val="18"/>
              </w:rPr>
              <w:t>Small flows can be hard to see beside very large flows, and widths may be difficult to compare precisely.</w:t>
            </w:r>
          </w:p>
        </w:tc>
        <w:tc>
          <w:tcPr>
            <w:tcW w:type="dxa" w:w="4032"/>
            <w:vAlign w:val="center"/>
          </w:tcPr>
          <w:p>
            <w:pPr>
              <w:spacing w:after="20"/>
            </w:pPr>
            <w:r/>
            <w:r>
              <w:rPr>
                <w:rFonts w:ascii="Arial" w:hAnsi="Arial"/>
                <w:b w:val="0"/>
                <w:sz w:val="18"/>
              </w:rPr>
              <w:t>A bar chart with values labelled.</w:t>
            </w:r>
          </w:p>
        </w:tc>
      </w:tr>
    </w:tbl>
    <w:p>
      <w:pPr>
        <w:spacing w:after="20"/>
      </w:pPr>
    </w:p>
    <w:p>
      <w:pPr>
        <w:pStyle w:val="Heading1"/>
      </w:pPr>
      <w:r>
        <w:t>Conclusion</w:t>
      </w:r>
    </w:p>
    <w:p>
      <w:r>
        <w:t>A Sankey diagram shows how sessions move between stages and makes it easier to identify successful conversions and drop-off points. In this dataset, 1,069 of 4,890 sessions ended in a paid booking, giving a conversion rate of about 21.9%. The diagram also shows that 1,561 sessions exited the site, which is the largest single flow into the no-booking outcome.</w:t>
      </w:r>
    </w:p>
    <w:p>
      <w:pPr>
        <w:jc w:val="center"/>
      </w:pPr>
      <w:r>
        <w:rPr>
          <w:b/>
          <w:color w:val="1F4E79"/>
        </w:rPr>
        <w:t>— End of Assignment —</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