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4BD0F" w14:textId="77777777" w:rsidR="00917B60" w:rsidRPr="00917B60" w:rsidRDefault="00917B60" w:rsidP="00917B60">
      <w:pPr>
        <w:rPr>
          <w:b/>
          <w:bCs/>
        </w:rPr>
      </w:pPr>
      <w:r w:rsidRPr="00917B60">
        <w:rPr>
          <w:b/>
          <w:bCs/>
        </w:rPr>
        <w:t>Economic Calendar Tactics: Plan Your Financial Year Like a Pro</w:t>
      </w:r>
    </w:p>
    <w:p w14:paraId="7675A1FE" w14:textId="77777777" w:rsidR="00917B60" w:rsidRPr="00917B60" w:rsidRDefault="00917B60" w:rsidP="00917B60">
      <w:commentRangeStart w:id="0"/>
      <w:r w:rsidRPr="00917B60">
        <w:t>Financial planning, similar to military planning, means that being prepared is being alert. The economic calendar is not just a piece of equipment; it is a Golden Circle, where GDP reports, policy decisions, and inflation information transpire. Understanding how and when to apply this particular tool can help improve financial planning and investment strategies throughout the year.</w:t>
      </w:r>
      <w:commentRangeEnd w:id="0"/>
      <w:r w:rsidR="00A21B8F" w:rsidRPr="00917B60">
        <w:rPr>
          <w:rStyle w:val="CommentReference"/>
          <w:sz w:val="22"/>
          <w:szCs w:val="22"/>
        </w:rPr>
        <w:commentReference w:id="0"/>
      </w:r>
    </w:p>
    <w:p w14:paraId="19D47A4C" w14:textId="77777777" w:rsidR="00917B60" w:rsidRPr="00917B60" w:rsidRDefault="00917B60" w:rsidP="00917B60">
      <w:commentRangeStart w:id="1"/>
      <w:r w:rsidRPr="00917B60">
        <w:t xml:space="preserve">The importance of this approach is becoming even greater as wealth management becomes increasingly digital. Modern wealth management platforms combine portfolio management, financial planning, reporting, analytics, and market information within integrated digital environments. According to the current Coherent Market Insights (CMI) Wealth Management Platform Market report, the global market is estimated to be valued at </w:t>
      </w:r>
      <w:r w:rsidRPr="00917B60">
        <w:rPr>
          <w:b/>
          <w:bCs/>
        </w:rPr>
        <w:t>USD 7.70 billion in 2026</w:t>
      </w:r>
      <w:r w:rsidRPr="00917B60">
        <w:t xml:space="preserve"> and is expected to reach </w:t>
      </w:r>
      <w:r w:rsidRPr="00917B60">
        <w:rPr>
          <w:b/>
          <w:bCs/>
        </w:rPr>
        <w:t>USD 20.84 billion by 2033</w:t>
      </w:r>
      <w:r w:rsidRPr="00917B60">
        <w:t xml:space="preserve">, representing a CAGR of </w:t>
      </w:r>
      <w:r w:rsidRPr="00917B60">
        <w:rPr>
          <w:b/>
          <w:bCs/>
        </w:rPr>
        <w:t>15.2% from 2026 to 2033</w:t>
      </w:r>
      <w:r w:rsidRPr="00917B60">
        <w:t>.</w:t>
      </w:r>
      <w:commentRangeEnd w:id="1"/>
      <w:r w:rsidR="00A21B8F" w:rsidRPr="00917B60">
        <w:rPr>
          <w:rStyle w:val="CommentReference"/>
          <w:sz w:val="22"/>
          <w:szCs w:val="22"/>
        </w:rPr>
        <w:commentReference w:id="1"/>
      </w:r>
    </w:p>
    <w:p w14:paraId="0764742E" w14:textId="77777777" w:rsidR="00917B60" w:rsidRPr="00917B60" w:rsidRDefault="00917B60" w:rsidP="00917B60">
      <w:pPr>
        <w:rPr>
          <w:b/>
          <w:bCs/>
        </w:rPr>
      </w:pPr>
      <w:commentRangeStart w:id="2"/>
      <w:r w:rsidRPr="00917B60">
        <w:rPr>
          <w:b/>
          <w:bCs/>
        </w:rPr>
        <w:t>The Toolshed - Must-Have Tools for Financial Planning</w:t>
      </w:r>
    </w:p>
    <w:p w14:paraId="33C9AF86" w14:textId="77777777" w:rsidR="00917B60" w:rsidRPr="00917B60" w:rsidRDefault="00917B60" w:rsidP="00917B60">
      <w:r w:rsidRPr="00917B60">
        <w:t xml:space="preserve">The general conclusion that can be drawn is that selecting the right </w:t>
      </w:r>
      <w:hyperlink r:id="rId8" w:history="1">
        <w:r w:rsidRPr="00917B60">
          <w:rPr>
            <w:rStyle w:val="Hyperlink"/>
          </w:rPr>
          <w:t>Economic Calendar</w:t>
        </w:r>
      </w:hyperlink>
      <w:r w:rsidRPr="00917B60">
        <w:t xml:space="preserve"> is incredibly important for success in the financial markets. When selecting an economic calendar, focus on three key features: </w:t>
      </w:r>
      <w:r w:rsidRPr="00917B60">
        <w:rPr>
          <w:b/>
          <w:bCs/>
        </w:rPr>
        <w:t>Relevance</w:t>
      </w:r>
      <w:r w:rsidRPr="00917B60">
        <w:t xml:space="preserve">, guaranteeing that the calendar captures events that have a relationship with investments or matters of interest; </w:t>
      </w:r>
      <w:r w:rsidRPr="00917B60">
        <w:rPr>
          <w:b/>
          <w:bCs/>
        </w:rPr>
        <w:t>Timeliness</w:t>
      </w:r>
      <w:r w:rsidRPr="00917B60">
        <w:t xml:space="preserve">, where users are presented with real-time updates given that markets are fluid; and </w:t>
      </w:r>
      <w:r w:rsidRPr="00917B60">
        <w:rPr>
          <w:b/>
          <w:bCs/>
        </w:rPr>
        <w:t>Customization</w:t>
      </w:r>
      <w:r w:rsidRPr="00917B60">
        <w:t>, where users can sort events by their potential effects, the corresponding country, or even the market it belongs to.</w:t>
      </w:r>
    </w:p>
    <w:p w14:paraId="5B5F84F7" w14:textId="77777777" w:rsidR="00917B60" w:rsidRPr="00917B60" w:rsidRDefault="00917B60" w:rsidP="00917B60">
      <w:r w:rsidRPr="00917B60">
        <w:t xml:space="preserve">Including the selected economic calendar in market analysis and financial planning tools can help investors and wealth managers better understand how economic developments may affect portfolios and investment decisions. </w:t>
      </w:r>
      <w:commentRangeEnd w:id="2"/>
      <w:r w:rsidR="00A21B8F" w:rsidRPr="00917B60">
        <w:rPr>
          <w:rStyle w:val="CommentReference"/>
          <w:sz w:val="22"/>
          <w:szCs w:val="22"/>
        </w:rPr>
        <w:commentReference w:id="2"/>
      </w:r>
      <w:commentRangeStart w:id="3"/>
      <w:r w:rsidRPr="00917B60">
        <w:t>This is particularly relevant as modern wealth management platforms increasingly combine portfolio management, financial planning, reporting, analytics, and market information within integrated digital environments</w:t>
      </w:r>
      <w:commentRangeEnd w:id="3"/>
      <w:r w:rsidR="00A21B8F" w:rsidRPr="00917B60">
        <w:rPr>
          <w:rStyle w:val="CommentReference"/>
          <w:sz w:val="22"/>
          <w:szCs w:val="22"/>
        </w:rPr>
        <w:commentReference w:id="3"/>
      </w:r>
      <w:r w:rsidRPr="00917B60">
        <w:t>.</w:t>
      </w:r>
    </w:p>
    <w:p w14:paraId="7A7CD709" w14:textId="77777777" w:rsidR="00917B60" w:rsidRPr="00917B60" w:rsidRDefault="00917B60" w:rsidP="00917B60">
      <w:commentRangeStart w:id="4"/>
      <w:r w:rsidRPr="00917B60">
        <w:t xml:space="preserve">Three trends are particularly relevant to this changing environment. </w:t>
      </w:r>
      <w:r w:rsidRPr="00A21B8F">
        <w:t xml:space="preserve">Artificial intelligence and data analytics </w:t>
      </w:r>
      <w:r w:rsidRPr="00917B60">
        <w:t>are increasingly being used to process large volumes of financial information, support portfolio analysis, and provide more personalized investment insights. CMI notes that AI is transforming wealth management through personalization, portfolio optimization, predictive advice, and greater efficiency.</w:t>
      </w:r>
    </w:p>
    <w:p w14:paraId="22527646" w14:textId="77777777" w:rsidR="00917B60" w:rsidRPr="00917B60" w:rsidRDefault="00917B60" w:rsidP="00917B60">
      <w:r w:rsidRPr="00917B60">
        <w:t xml:space="preserve">A second important trend is the increasing adoption of </w:t>
      </w:r>
      <w:r w:rsidRPr="00A21B8F">
        <w:t>cloud-based wealth management platforms.</w:t>
      </w:r>
      <w:r w:rsidRPr="00917B60">
        <w:t xml:space="preserve"> Cloud infrastructure provides flexibility, scalability, easier access to information, and lower upfront infrastructure requirements. CMI expects the cloud-based segment to account for approximately </w:t>
      </w:r>
      <w:r w:rsidRPr="00917B60">
        <w:rPr>
          <w:b/>
          <w:bCs/>
        </w:rPr>
        <w:t>65.6% of the global wealth management platform market in 2026</w:t>
      </w:r>
      <w:r w:rsidRPr="00917B60">
        <w:t>, making it the leading deployment segment.</w:t>
      </w:r>
    </w:p>
    <w:p w14:paraId="50901499" w14:textId="77777777" w:rsidR="00917B60" w:rsidRPr="00917B60" w:rsidRDefault="00917B60" w:rsidP="00917B60">
      <w:r w:rsidRPr="00917B60">
        <w:t xml:space="preserve">A third trend is the growing demand for </w:t>
      </w:r>
      <w:r w:rsidRPr="00A21B8F">
        <w:t>personalized and digitally enabled advisory services</w:t>
      </w:r>
      <w:r w:rsidRPr="00917B60">
        <w:t xml:space="preserve">. Younger, digitally oriented investors increasingly expect convenient and customized financial experiences, while high-net-worth individuals often continue to require professional guidance for complex portfolios and financial planning. This is encouraging the development of human, robo-advisory, and hybrid models. CMI expects the </w:t>
      </w:r>
      <w:r w:rsidRPr="00917B60">
        <w:rPr>
          <w:b/>
          <w:bCs/>
        </w:rPr>
        <w:t>human advisory segment to account for approximately 40% of the market in 2026</w:t>
      </w:r>
      <w:r w:rsidRPr="00917B60">
        <w:t>, highlighting the continued importance of professional advice</w:t>
      </w:r>
      <w:commentRangeEnd w:id="4"/>
      <w:r w:rsidR="000F3F49" w:rsidRPr="00917B60">
        <w:rPr>
          <w:rStyle w:val="CommentReference"/>
          <w:sz w:val="22"/>
          <w:szCs w:val="22"/>
        </w:rPr>
        <w:commentReference w:id="4"/>
      </w:r>
      <w:r w:rsidRPr="00917B60">
        <w:t>.</w:t>
      </w:r>
    </w:p>
    <w:p w14:paraId="42732220" w14:textId="77777777" w:rsidR="00917B60" w:rsidRPr="00917B60" w:rsidRDefault="00917B60" w:rsidP="00917B60">
      <w:commentRangeStart w:id="5"/>
      <w:r w:rsidRPr="00917B60">
        <w:t xml:space="preserve">Many such tools have practical additions like </w:t>
      </w:r>
      <w:r w:rsidRPr="00917B60">
        <w:rPr>
          <w:b/>
          <w:bCs/>
        </w:rPr>
        <w:t>Alerts</w:t>
      </w:r>
      <w:r w:rsidRPr="00917B60">
        <w:t xml:space="preserve">, which are signals about certain soon-to-occur economic events or changes in the market; </w:t>
      </w:r>
      <w:r w:rsidRPr="00917B60">
        <w:rPr>
          <w:b/>
          <w:bCs/>
        </w:rPr>
        <w:t>Analysis</w:t>
      </w:r>
      <w:r w:rsidRPr="00917B60">
        <w:t xml:space="preserve">, where the program presents expert opinions or </w:t>
      </w:r>
      <w:r w:rsidRPr="00917B60">
        <w:lastRenderedPageBreak/>
        <w:t xml:space="preserve">predictions based on the data obtained; and </w:t>
      </w:r>
      <w:r w:rsidRPr="00917B60">
        <w:rPr>
          <w:b/>
          <w:bCs/>
        </w:rPr>
        <w:t>Connectivity</w:t>
      </w:r>
      <w:r w:rsidRPr="00917B60">
        <w:t>, which is aimed at ensuring that the presented information can immediately feed into broader financial workflows.</w:t>
      </w:r>
      <w:commentRangeEnd w:id="5"/>
      <w:r w:rsidR="000F3F49" w:rsidRPr="00917B60">
        <w:rPr>
          <w:rStyle w:val="CommentReference"/>
          <w:sz w:val="22"/>
          <w:szCs w:val="22"/>
        </w:rPr>
        <w:commentReference w:id="5"/>
      </w:r>
    </w:p>
    <w:p w14:paraId="55F0F8B8" w14:textId="77777777" w:rsidR="00917B60" w:rsidRPr="00917B60" w:rsidRDefault="00917B60" w:rsidP="00917B60">
      <w:commentRangeStart w:id="6"/>
      <w:r w:rsidRPr="00917B60">
        <w:t>As wealth management technology continues to develop, artificial intelligence and data analytics are also being used to process large volumes of financial information and support more personalized portfolio analysis. These capabilities do not replace the economic calendar; instead, they can make the information it provides more useful when incorporated into a wider financial planning process.</w:t>
      </w:r>
    </w:p>
    <w:p w14:paraId="1882958B" w14:textId="77777777" w:rsidR="00917B60" w:rsidRPr="00917B60" w:rsidRDefault="00917B60" w:rsidP="00917B60">
      <w:r w:rsidRPr="00917B60">
        <w:t>It not only optimizes the work of having a financial forecast but also enhances understanding and sensitivity to market conditions, making these tools essential for making informed financial decisions</w:t>
      </w:r>
      <w:commentRangeEnd w:id="6"/>
      <w:r w:rsidR="000F3F49" w:rsidRPr="00917B60">
        <w:rPr>
          <w:rStyle w:val="CommentReference"/>
          <w:sz w:val="22"/>
          <w:szCs w:val="22"/>
        </w:rPr>
        <w:commentReference w:id="6"/>
      </w:r>
      <w:r w:rsidRPr="00917B60">
        <w:t>.</w:t>
      </w:r>
    </w:p>
    <w:p w14:paraId="45B7FEAD" w14:textId="77777777" w:rsidR="00917B60" w:rsidRPr="00917B60" w:rsidRDefault="00917B60" w:rsidP="00917B60">
      <w:pPr>
        <w:rPr>
          <w:b/>
          <w:bCs/>
        </w:rPr>
      </w:pPr>
      <w:r w:rsidRPr="00917B60">
        <w:rPr>
          <w:b/>
          <w:bCs/>
        </w:rPr>
        <w:t>Charting the Course - Key Events to Watch</w:t>
      </w:r>
    </w:p>
    <w:p w14:paraId="3EB208A4" w14:textId="77777777" w:rsidR="00917B60" w:rsidRPr="00917B60" w:rsidRDefault="00917B60" w:rsidP="00917B60">
      <w:r w:rsidRPr="00917B60">
        <w:t>There is hardly any month in a financial year that is empty of many events, but these events are not of the same significance. Here’s how to distinguish the pivotal from the mundane:</w:t>
      </w:r>
    </w:p>
    <w:p w14:paraId="4F025498" w14:textId="77777777" w:rsidR="00917B60" w:rsidRPr="00917B60" w:rsidRDefault="00917B60" w:rsidP="00917B60">
      <w:pPr>
        <w:rPr>
          <w:b/>
          <w:bCs/>
        </w:rPr>
      </w:pPr>
      <w:r w:rsidRPr="00917B60">
        <w:rPr>
          <w:b/>
          <w:bCs/>
        </w:rPr>
        <w:t>Interest Rate Decisions</w:t>
      </w:r>
    </w:p>
    <w:p w14:paraId="27741CF8" w14:textId="77777777" w:rsidR="00917B60" w:rsidRPr="00917B60" w:rsidRDefault="00917B60" w:rsidP="00917B60">
      <w:r w:rsidRPr="00917B60">
        <w:t>Central banks occasionally have a major impact on the markets. Interest-rate decisions can influence borrowing costs, bond yields, currencies, equities, and investor sentiment.</w:t>
      </w:r>
    </w:p>
    <w:p w14:paraId="2C881017" w14:textId="77777777" w:rsidR="00917B60" w:rsidRPr="00917B60" w:rsidRDefault="00917B60" w:rsidP="00917B60">
      <w:r w:rsidRPr="00917B60">
        <w:t>For wealth managers and investors, these decisions can also provide an opportunity to review portfolio allocations and assess exposure to interest-rate-sensitive assets. This is particularly important in major markets such as the U.S., where Federal Reserve decisions can influence both domestic and global investment conditions.</w:t>
      </w:r>
    </w:p>
    <w:p w14:paraId="7ADE0C75" w14:textId="77777777" w:rsidR="00917B60" w:rsidRPr="00917B60" w:rsidRDefault="00917B60" w:rsidP="00917B60">
      <w:r w:rsidRPr="00917B60">
        <w:t>The integration of economic information into wealth management platforms makes this process more practical. An advisor can use portfolio analytics to identify investments that may be particularly sensitive to changes in interest rates and then consider whether the portfolio remains aligned with the client's objectives.</w:t>
      </w:r>
    </w:p>
    <w:p w14:paraId="3390D6FF" w14:textId="77777777" w:rsidR="00917B60" w:rsidRPr="00917B60" w:rsidRDefault="00917B60" w:rsidP="00917B60">
      <w:pPr>
        <w:rPr>
          <w:b/>
          <w:bCs/>
        </w:rPr>
      </w:pPr>
      <w:r w:rsidRPr="00917B60">
        <w:rPr>
          <w:b/>
          <w:bCs/>
        </w:rPr>
        <w:t>Employment Reports</w:t>
      </w:r>
    </w:p>
    <w:p w14:paraId="5694BD17" w14:textId="77777777" w:rsidR="00917B60" w:rsidRPr="00917B60" w:rsidRDefault="00917B60" w:rsidP="00917B60">
      <w:r w:rsidRPr="00917B60">
        <w:t>Such indicators as the U.S. Non-Farm Payrolls, Average Workweek, and others are sensitive, and sometimes the volatility acquires critical proportions.</w:t>
      </w:r>
    </w:p>
    <w:p w14:paraId="23270DFF" w14:textId="77777777" w:rsidR="00917B60" w:rsidRPr="00917B60" w:rsidRDefault="00917B60" w:rsidP="00917B60">
      <w:r w:rsidRPr="00917B60">
        <w:t>Employment data can influence expectations about economic growth and future monetary policy. For investors, comparing employment results with market expectations can provide additional context when evaluating changes in equity, bond, and currency markets.</w:t>
      </w:r>
    </w:p>
    <w:p w14:paraId="2C50C608" w14:textId="77777777" w:rsidR="00917B60" w:rsidRPr="00917B60" w:rsidRDefault="00917B60" w:rsidP="00917B60">
      <w:pPr>
        <w:rPr>
          <w:b/>
          <w:bCs/>
        </w:rPr>
      </w:pPr>
      <w:r w:rsidRPr="00917B60">
        <w:rPr>
          <w:b/>
          <w:bCs/>
        </w:rPr>
        <w:t>GDP Releases</w:t>
      </w:r>
    </w:p>
    <w:p w14:paraId="31C9E4F1" w14:textId="77777777" w:rsidR="00917B60" w:rsidRPr="00917B60" w:rsidRDefault="00917B60" w:rsidP="00917B60">
      <w:r w:rsidRPr="00917B60">
        <w:t>General stock market performance or share price indexes that indicate the state of an economy can shift market perceptions. GDP releases provide insight into economic growth and can influence expectations surrounding corporate earnings, consumer spending, and investment activity.</w:t>
      </w:r>
    </w:p>
    <w:p w14:paraId="2960C8B2" w14:textId="77777777" w:rsidR="00917B60" w:rsidRPr="00917B60" w:rsidRDefault="00917B60" w:rsidP="00917B60">
      <w:r w:rsidRPr="00917B60">
        <w:t>For investors with exposure to multiple markets, comparing GDP developments across countries can also help provide a broader picture of economic conditions.</w:t>
      </w:r>
    </w:p>
    <w:p w14:paraId="010011A9" w14:textId="77777777" w:rsidR="00917B60" w:rsidRPr="00917B60" w:rsidRDefault="00917B60" w:rsidP="00917B60">
      <w:pPr>
        <w:rPr>
          <w:b/>
          <w:bCs/>
        </w:rPr>
      </w:pPr>
      <w:r w:rsidRPr="00917B60">
        <w:rPr>
          <w:b/>
          <w:bCs/>
        </w:rPr>
        <w:t>The Devil’s in the Details: Lesser-Known but Critical Dates</w:t>
      </w:r>
    </w:p>
    <w:p w14:paraId="7AB22E53" w14:textId="77777777" w:rsidR="00917B60" w:rsidRPr="00917B60" w:rsidRDefault="00917B60" w:rsidP="00917B60">
      <w:r w:rsidRPr="00917B60">
        <w:lastRenderedPageBreak/>
        <w:t>While major events capture headlines, lesser-known events often present unique opportunities:</w:t>
      </w:r>
    </w:p>
    <w:p w14:paraId="20A80D42" w14:textId="77777777" w:rsidR="00917B60" w:rsidRPr="00917B60" w:rsidRDefault="00917B60" w:rsidP="00917B60">
      <w:pPr>
        <w:rPr>
          <w:b/>
          <w:bCs/>
        </w:rPr>
      </w:pPr>
      <w:r w:rsidRPr="00917B60">
        <w:rPr>
          <w:b/>
          <w:bCs/>
        </w:rPr>
        <w:t>Central Bank Minutes</w:t>
      </w:r>
    </w:p>
    <w:p w14:paraId="6A115997" w14:textId="77777777" w:rsidR="00917B60" w:rsidRPr="00917B60" w:rsidRDefault="00917B60" w:rsidP="00917B60">
      <w:r w:rsidRPr="00917B60">
        <w:t>Offering micro and macro-level forecasts regarding future policies, central bank minutes can provide additional context behind an interest-rate decision.</w:t>
      </w:r>
    </w:p>
    <w:p w14:paraId="36A6F409" w14:textId="77777777" w:rsidR="00917B60" w:rsidRPr="00917B60" w:rsidRDefault="00917B60" w:rsidP="00917B60">
      <w:r w:rsidRPr="00917B60">
        <w:t>Investors can use these releases to understand how policymakers view inflation, employment, economic growth, and future monetary policy. This information can be particularly useful when reviewing longer-term portfolio strategies.</w:t>
      </w:r>
    </w:p>
    <w:p w14:paraId="3DECD29D" w14:textId="77777777" w:rsidR="00917B60" w:rsidRPr="00917B60" w:rsidRDefault="00917B60" w:rsidP="00917B60">
      <w:pPr>
        <w:rPr>
          <w:b/>
          <w:bCs/>
        </w:rPr>
      </w:pPr>
      <w:r w:rsidRPr="00917B60">
        <w:rPr>
          <w:b/>
          <w:bCs/>
        </w:rPr>
        <w:t>Consumer Confidence Indexes</w:t>
      </w:r>
    </w:p>
    <w:p w14:paraId="4158A69A" w14:textId="77777777" w:rsidR="00917B60" w:rsidRPr="00917B60" w:rsidRDefault="00917B60" w:rsidP="00917B60">
      <w:r w:rsidRPr="00917B60">
        <w:t>They can portend changes in consumers’ expenditure patterns.</w:t>
      </w:r>
    </w:p>
    <w:p w14:paraId="00FC4C6C" w14:textId="77777777" w:rsidR="00917B60" w:rsidRPr="00917B60" w:rsidRDefault="00917B60" w:rsidP="00917B60">
      <w:r w:rsidRPr="00917B60">
        <w:t>Changes in consumer confidence can influence expectations surrounding retail activity, household spending, and broader economic growth. Tracking these indicators alongside major economic releases can help investors build a more complete view of market conditions.</w:t>
      </w:r>
    </w:p>
    <w:p w14:paraId="6A0C82FB" w14:textId="77777777" w:rsidR="00917B60" w:rsidRPr="00917B60" w:rsidRDefault="00917B60" w:rsidP="00917B60">
      <w:pPr>
        <w:rPr>
          <w:b/>
          <w:bCs/>
        </w:rPr>
      </w:pPr>
      <w:r w:rsidRPr="00917B60">
        <w:rPr>
          <w:b/>
          <w:bCs/>
        </w:rPr>
        <w:t>Manufacturing PMIs</w:t>
      </w:r>
    </w:p>
    <w:p w14:paraId="7D09B66A" w14:textId="77777777" w:rsidR="00917B60" w:rsidRPr="00917B60" w:rsidRDefault="00917B60" w:rsidP="00917B60">
      <w:r w:rsidRPr="00917B60">
        <w:t>Signs of the industrial organizations’ economic strength, especially among industrialized states, manufacturing PMIs can provide timely information about business and industrial activity.</w:t>
      </w:r>
    </w:p>
    <w:p w14:paraId="78A80700" w14:textId="77777777" w:rsidR="00917B60" w:rsidRPr="00917B60" w:rsidRDefault="00917B60" w:rsidP="00917B60">
      <w:r w:rsidRPr="00917B60">
        <w:t>Although these indicators may not always generate the same level of volatility as an interest-rate decision or employment report, they can provide useful signals when combined with other economic data.</w:t>
      </w:r>
    </w:p>
    <w:p w14:paraId="61218D00" w14:textId="77777777" w:rsidR="00917B60" w:rsidRPr="00917B60" w:rsidRDefault="00917B60" w:rsidP="00917B60">
      <w:r w:rsidRPr="00917B60">
        <w:t>This wider use of economic information fits naturally with the growth of wealth management platforms. Instead of looking at individual indicators in isolation, investors and advisors can increasingly combine economic data with portfolio performance, financial plans, risk analysis, and client objectives.</w:t>
      </w:r>
    </w:p>
    <w:p w14:paraId="5F2B1888" w14:textId="77777777" w:rsidR="00917B60" w:rsidRPr="00917B60" w:rsidRDefault="00917B60" w:rsidP="00917B60">
      <w:pPr>
        <w:rPr>
          <w:b/>
          <w:bCs/>
        </w:rPr>
      </w:pPr>
      <w:r w:rsidRPr="00917B60">
        <w:rPr>
          <w:b/>
          <w:bCs/>
        </w:rPr>
        <w:t>Strategies for Smooth Sailing</w:t>
      </w:r>
    </w:p>
    <w:p w14:paraId="135909F4" w14:textId="77777777" w:rsidR="00917B60" w:rsidRPr="00917B60" w:rsidRDefault="00917B60" w:rsidP="00917B60">
      <w:r w:rsidRPr="00917B60">
        <w:t>Navigating the financial year requires more than simply marking events on a calendar. It requires a strategy that combines preparation with the ability to respond to changing market and financial conditions.</w:t>
      </w:r>
    </w:p>
    <w:p w14:paraId="59DF825F" w14:textId="77777777" w:rsidR="00917B60" w:rsidRPr="00917B60" w:rsidRDefault="00917B60" w:rsidP="00917B60">
      <w:r w:rsidRPr="00917B60">
        <w:t>Economic calendars and market tools provide practical methods for setting alerts for certain events. In this manner, configured alerts enable investors and advisors to prepare for potential changes in market or financial conditions.</w:t>
      </w:r>
    </w:p>
    <w:p w14:paraId="6E996135" w14:textId="77777777" w:rsidR="00917B60" w:rsidRPr="00917B60" w:rsidRDefault="00917B60" w:rsidP="00917B60">
      <w:r w:rsidRPr="00917B60">
        <w:t>For investors and wealth managers, these alerts can also act as prompts to review portfolio exposure before potentially market-moving announcements. An upcoming inflation report, for example, may encourage an investor to examine exposure to fixed-income investments, while a central bank decision may lead to a review of interest-rate-sensitive holdings.</w:t>
      </w:r>
    </w:p>
    <w:p w14:paraId="0D332146" w14:textId="77777777" w:rsidR="00917B60" w:rsidRPr="00917B60" w:rsidRDefault="00917B60" w:rsidP="00917B60">
      <w:r w:rsidRPr="00917B60">
        <w:t>The growing use of digital wealth management platforms makes this process increasingly practical. Cloud-based platforms can bring portfolio information, financial planning, reporting, and analytics together, allowing investors and advisors to access relevant information when reviewing financial strategies.</w:t>
      </w:r>
    </w:p>
    <w:p w14:paraId="7D902702" w14:textId="77777777" w:rsidR="00917B60" w:rsidRPr="00147FE2" w:rsidRDefault="00917B60" w:rsidP="00917B60">
      <w:commentRangeStart w:id="7"/>
      <w:r w:rsidRPr="00147FE2">
        <w:lastRenderedPageBreak/>
        <w:t>The cloud-based sub-segment is particularly relevant here. CMI expects cloud-based deployment to hold 65.6% of the market in 2026, supported by its flexibility, scalability, lower upfront costs, unified data environments, and ability to integrate with applications such as goal-based financial planning, risk profiling, and portfolio rebalancing.</w:t>
      </w:r>
      <w:commentRangeEnd w:id="7"/>
      <w:r w:rsidR="000F3F49" w:rsidRPr="00147FE2">
        <w:rPr>
          <w:rStyle w:val="CommentReference"/>
          <w:sz w:val="22"/>
          <w:szCs w:val="22"/>
        </w:rPr>
        <w:commentReference w:id="7"/>
      </w:r>
    </w:p>
    <w:p w14:paraId="1E357ADA" w14:textId="77777777" w:rsidR="00917B60" w:rsidRPr="00147FE2" w:rsidRDefault="00917B60" w:rsidP="00917B60">
      <w:r w:rsidRPr="00147FE2">
        <w:t>These capabilities can make economic-calendar information more useful. For example, an upcoming central bank decision can be monitored while an advisor simultaneously reviews a client's portfolio, risk exposure, financial plan, and liquidity position. The technology therefore does not replace the decision-making process; it helps bring the relevant information together.</w:t>
      </w:r>
    </w:p>
    <w:p w14:paraId="04B6D23E" w14:textId="77777777" w:rsidR="00917B60" w:rsidRPr="00147FE2" w:rsidRDefault="00917B60" w:rsidP="00917B60">
      <w:r w:rsidRPr="00147FE2">
        <w:t>The other important sub-segment is human advisory. CMI expects human advisory to account for around 40% of the market in 2026, supported by demand for personalized guidance and the increasing complexity of wealth portfolios. Human advisors remain particularly relevant for clients dealing with diverse asset classes, tax considerations, estate planning, entrepreneurship, and other complex financial needs.</w:t>
      </w:r>
    </w:p>
    <w:p w14:paraId="74AC4E37" w14:textId="77777777" w:rsidR="00917B60" w:rsidRPr="00917B60" w:rsidRDefault="00917B60" w:rsidP="00917B60">
      <w:r w:rsidRPr="00917B60">
        <w:t>Human advisory also has an important role in interpreting economic-calendar information. Rather than treating an inflation release or interest-rate decision as an automatic buy-or-sell signal, advisors can use the event as a prompt to discuss possible scenarios and assess whether a portfolio remains appropriate for the client's objectives and risk tolerance.</w:t>
      </w:r>
    </w:p>
    <w:p w14:paraId="11418EF1" w14:textId="77777777" w:rsidR="00917B60" w:rsidRPr="00917B60" w:rsidRDefault="00917B60" w:rsidP="00917B60">
      <w:commentRangeStart w:id="8"/>
      <w:r w:rsidRPr="00917B60">
        <w:t>In the U.S., wealth management is increasingly shaped by digital platforms, artificial intelligence, data analytics, and personalized advisory services. Wealth managers are using technology to integrate portfolio management, financial planning, reporting, and market intelligence while providing more tailored investment support. The growing adoption of cloud-based platforms is also enabling advisors and clients to access financial information and portfolio insights more efficiently.</w:t>
      </w:r>
    </w:p>
    <w:p w14:paraId="1B1569E0" w14:textId="77777777" w:rsidR="00917B60" w:rsidRPr="00917B60" w:rsidRDefault="00917B60" w:rsidP="00917B60">
      <w:r w:rsidRPr="00917B60">
        <w:t>The U.S. market is supported by a large financial-services ecosystem, a substantial high-net-worth population, and strong adoption of financial technology. Increasing use of AI, machine learning, robo-advisory, and digitally enabled services is encouraging wealth management firms to modernize their offerings. Traditional firms are also partnering with fintech companies and adopting technology platforms to provide automated, goal-based investing and more personalized digital experiences. These developments make the U.S. an important contributor to North America's leading position in the global wealth management platform market.</w:t>
      </w:r>
      <w:commentRangeEnd w:id="8"/>
      <w:r w:rsidR="000F3F49" w:rsidRPr="00917B60">
        <w:rPr>
          <w:rStyle w:val="CommentReference"/>
          <w:sz w:val="22"/>
          <w:szCs w:val="22"/>
        </w:rPr>
        <w:commentReference w:id="8"/>
      </w:r>
    </w:p>
    <w:p w14:paraId="1F8B844D" w14:textId="77777777" w:rsidR="00917B60" w:rsidRPr="00917B60" w:rsidRDefault="00917B60" w:rsidP="00917B60">
      <w:pPr>
        <w:rPr>
          <w:b/>
          <w:bCs/>
        </w:rPr>
      </w:pPr>
      <w:r w:rsidRPr="00917B60">
        <w:rPr>
          <w:b/>
          <w:bCs/>
        </w:rPr>
        <w:t>Keeping a Captain’s Log: The Value of a Trading Journal</w:t>
      </w:r>
    </w:p>
    <w:p w14:paraId="465F5437" w14:textId="77777777" w:rsidR="00917B60" w:rsidRPr="00917B60" w:rsidRDefault="00917B60" w:rsidP="00917B60">
      <w:r w:rsidRPr="00917B60">
        <w:t>Trading journaling is the most useful thing for any trader, as it helps keep an eye on all transactions.</w:t>
      </w:r>
    </w:p>
    <w:p w14:paraId="522E9E71" w14:textId="77777777" w:rsidR="00917B60" w:rsidRPr="00917B60" w:rsidRDefault="00917B60" w:rsidP="00917B60">
      <w:r w:rsidRPr="00917B60">
        <w:t xml:space="preserve">Any </w:t>
      </w:r>
      <w:r w:rsidRPr="00917B60">
        <w:rPr>
          <w:b/>
          <w:bCs/>
        </w:rPr>
        <w:t>Decision / Strategy / Action Taken</w:t>
      </w:r>
      <w:r w:rsidRPr="00917B60">
        <w:t>: It is necessary to record the decisions that were made, the strategies that were implemented, and the actions that were carried out so that it is possible to analyze one’s actions.</w:t>
      </w:r>
    </w:p>
    <w:p w14:paraId="6181346F" w14:textId="1E19DF0A" w:rsidR="00917B60" w:rsidRPr="00917B60" w:rsidRDefault="00917B60" w:rsidP="00917B60">
      <w:r w:rsidRPr="00917B60">
        <w:t>Thus, a detailed trading journal should contain the date of the event, the type of event, the actions taken during the event</w:t>
      </w:r>
      <w:r w:rsidR="00147FE2">
        <w:t xml:space="preserve">, </w:t>
      </w:r>
      <w:r w:rsidRPr="00917B60">
        <w:t>whether buying, selling, rebalancing, or staying out of the market—the results of those actions, whether gain, loss, or break-even, and what was learned from the trade.</w:t>
      </w:r>
    </w:p>
    <w:p w14:paraId="34C568EE" w14:textId="77777777" w:rsidR="00917B60" w:rsidRPr="00917B60" w:rsidRDefault="00917B60" w:rsidP="00917B60">
      <w:r w:rsidRPr="00917B60">
        <w:t>This way of record-keeping helps transform experiences into expertise, improving the decision-making process and growing through change by being responsive to the results of previous decisions.</w:t>
      </w:r>
    </w:p>
    <w:p w14:paraId="14574DCD" w14:textId="77777777" w:rsidR="00917B60" w:rsidRPr="00917B60" w:rsidRDefault="00917B60" w:rsidP="00917B60">
      <w:r w:rsidRPr="00917B60">
        <w:lastRenderedPageBreak/>
        <w:t>For wealth managers, a similar approach can be applied to portfolio reviews. Recording how portfolios responded to major economic announcements can help advisors identify patterns and improve future planning.</w:t>
      </w:r>
    </w:p>
    <w:p w14:paraId="7450750E" w14:textId="77777777" w:rsidR="00917B60" w:rsidRPr="00917B60" w:rsidRDefault="00917B60" w:rsidP="00917B60">
      <w:r w:rsidRPr="00917B60">
        <w:t>The growing use of AI and data analytics can make this historical information even more useful. By combining historical portfolio performance with economic indicators, wealth management platforms can help advisors identify patterns, evaluate risk, and understand which parts of a portfolio may require closer attention.</w:t>
      </w:r>
    </w:p>
    <w:p w14:paraId="4DA79425" w14:textId="77777777" w:rsidR="00917B60" w:rsidRPr="00917B60" w:rsidRDefault="00917B60" w:rsidP="00917B60">
      <w:pPr>
        <w:rPr>
          <w:b/>
          <w:bCs/>
        </w:rPr>
      </w:pPr>
      <w:r w:rsidRPr="00917B60">
        <w:rPr>
          <w:b/>
          <w:bCs/>
        </w:rPr>
        <w:t>Learning from the Past: Historical Data Analysis</w:t>
      </w:r>
    </w:p>
    <w:p w14:paraId="30EB253C" w14:textId="77777777" w:rsidR="00917B60" w:rsidRPr="00917B60" w:rsidRDefault="00917B60" w:rsidP="00917B60">
      <w:r w:rsidRPr="00917B60">
        <w:t>Furthermore, it aids in explaining historical market activity in order to foresee future movement in the same sector.</w:t>
      </w:r>
    </w:p>
    <w:p w14:paraId="480047D0" w14:textId="77777777" w:rsidR="00917B60" w:rsidRPr="00917B60" w:rsidRDefault="00917B60" w:rsidP="00917B60">
      <w:r w:rsidRPr="00917B60">
        <w:t>Using historical data lets investors and wealth managers understand how similar circumstances have influenced investments in the past. This is a very useful insight as it assists in course correction and framing expectations for the future.</w:t>
      </w:r>
    </w:p>
    <w:p w14:paraId="4DCFC84F" w14:textId="77777777" w:rsidR="00917B60" w:rsidRPr="00917B60" w:rsidRDefault="00917B60" w:rsidP="00917B60">
      <w:r w:rsidRPr="00917B60">
        <w:t>For example, understanding how various industries responded to changes in a particular interest rate informs where and when investment strategies may need to be adjusted during future alterations.</w:t>
      </w:r>
    </w:p>
    <w:p w14:paraId="37445F0F" w14:textId="77777777" w:rsidR="00917B60" w:rsidRPr="00917B60" w:rsidRDefault="00917B60" w:rsidP="00917B60">
      <w:r w:rsidRPr="00147FE2">
        <w:t>This approach is becoming increasingly relevant as wealth management platforms use AI and data analytics</w:t>
      </w:r>
      <w:r w:rsidRPr="00917B60">
        <w:t xml:space="preserve"> to combine historical portfolio performance with broader economic indicators. By analyzing past outcomes alongside current economic conditions, these tools can help investors and advisors identify potential risks and areas requiring closer attention.</w:t>
      </w:r>
    </w:p>
    <w:p w14:paraId="54FF8C8D" w14:textId="77777777" w:rsidR="00917B60" w:rsidRPr="00917B60" w:rsidRDefault="00917B60" w:rsidP="00917B60">
      <w:r w:rsidRPr="00917B60">
        <w:t>Historical performance cannot guarantee future results, but it can provide valuable context when developing financial strategies and evaluating different scenarios.</w:t>
      </w:r>
    </w:p>
    <w:p w14:paraId="6ABFEFB6" w14:textId="77777777" w:rsidR="00917B60" w:rsidRPr="00917B60" w:rsidRDefault="00917B60" w:rsidP="00917B60">
      <w:pPr>
        <w:rPr>
          <w:b/>
          <w:bCs/>
        </w:rPr>
      </w:pPr>
      <w:r w:rsidRPr="00917B60">
        <w:rPr>
          <w:b/>
          <w:bCs/>
        </w:rPr>
        <w:t>Avoiding the Storms - Mitigating Risks with Economic Calendars</w:t>
      </w:r>
    </w:p>
    <w:p w14:paraId="605C07EF" w14:textId="77777777" w:rsidR="00917B60" w:rsidRPr="00917B60" w:rsidRDefault="00917B60" w:rsidP="00917B60">
      <w:r w:rsidRPr="00917B60">
        <w:t>Managing risks is central to achieving and sustaining operations in the financial markets. Risk management is critical for the existence and success of the financial markets.</w:t>
      </w:r>
    </w:p>
    <w:p w14:paraId="45A94E77" w14:textId="77777777" w:rsidR="00917B60" w:rsidRPr="00917B60" w:rsidRDefault="00917B60" w:rsidP="00917B60">
      <w:r w:rsidRPr="00917B60">
        <w:t xml:space="preserve">One broad approach is </w:t>
      </w:r>
      <w:r w:rsidRPr="00917B60">
        <w:rPr>
          <w:b/>
          <w:bCs/>
        </w:rPr>
        <w:t>diversification</w:t>
      </w:r>
      <w:r w:rsidRPr="00917B60">
        <w:t>, which is essentially the concept of never putting all your money into one investment; instead, investments can be spread across different types of assets or sectors to avoid being severely affected by the downside of any particular market.</w:t>
      </w:r>
    </w:p>
    <w:p w14:paraId="0B3401A0" w14:textId="77777777" w:rsidR="00917B60" w:rsidRPr="00917B60" w:rsidRDefault="00917B60" w:rsidP="00917B60">
      <w:r w:rsidRPr="00917B60">
        <w:t xml:space="preserve">Another big strategy is called </w:t>
      </w:r>
      <w:r w:rsidRPr="00917B60">
        <w:rPr>
          <w:b/>
          <w:bCs/>
        </w:rPr>
        <w:t>hedging</w:t>
      </w:r>
      <w:r w:rsidRPr="00917B60">
        <w:t>, which means insurance based on contracts, often in the form of an option or a derivative product. This method works similarly to an insurance policy that is taken with the hope that market movements will not go against the holder’s expectations.</w:t>
      </w:r>
    </w:p>
    <w:p w14:paraId="652F1B28" w14:textId="77777777" w:rsidR="00917B60" w:rsidRPr="00917B60" w:rsidRDefault="00917B60" w:rsidP="00917B60">
      <w:r w:rsidRPr="00917B60">
        <w:t>For wealth managers, these principles are particularly important when economic events create uncertainty across different asset classes. Monitoring an economic calendar can help identify periods when portfolio exposure and diversification may deserve additional attention.</w:t>
      </w:r>
    </w:p>
    <w:p w14:paraId="5B31CB09" w14:textId="77777777" w:rsidR="00917B60" w:rsidRPr="00917B60" w:rsidRDefault="00917B60" w:rsidP="00917B60">
      <w:r w:rsidRPr="00917B60">
        <w:t>The development of wealth management platforms adds another layer to this process by connecting portfolio data, financial planning, reporting, and analytics. This integrated approach can help advisors evaluate the potential impact of economic developments across different areas of a client's financial strategy.</w:t>
      </w:r>
    </w:p>
    <w:p w14:paraId="2046FBA0" w14:textId="77777777" w:rsidR="00917B60" w:rsidRPr="00917B60" w:rsidRDefault="00917B60" w:rsidP="00917B60">
      <w:pPr>
        <w:rPr>
          <w:b/>
          <w:bCs/>
        </w:rPr>
      </w:pPr>
      <w:r w:rsidRPr="00917B60">
        <w:rPr>
          <w:b/>
          <w:bCs/>
        </w:rPr>
        <w:lastRenderedPageBreak/>
        <w:t>When the Waters Get Rough: Adapting to Market Volatility</w:t>
      </w:r>
    </w:p>
    <w:p w14:paraId="5E2FFD6B" w14:textId="77777777" w:rsidR="00917B60" w:rsidRPr="00917B60" w:rsidRDefault="00917B60" w:rsidP="00917B60">
      <w:r w:rsidRPr="00917B60">
        <w:t>Liquidity fluctuations are an inherent feature of trading, and therefore, it does not make sense to use a strategy that could fail during illiquidity episodes. An economic calendar can be used to anticipate potentially volatile periods and adjust strategies accordingly:</w:t>
      </w:r>
    </w:p>
    <w:p w14:paraId="7219D8F8" w14:textId="77777777" w:rsidR="00917B60" w:rsidRPr="00917B60" w:rsidRDefault="00917B60" w:rsidP="00917B60">
      <w:pPr>
        <w:rPr>
          <w:b/>
          <w:bCs/>
        </w:rPr>
      </w:pPr>
      <w:r w:rsidRPr="00917B60">
        <w:rPr>
          <w:b/>
          <w:bCs/>
        </w:rPr>
        <w:t>Increase Liquidity</w:t>
      </w:r>
    </w:p>
    <w:p w14:paraId="64A59FE5" w14:textId="77777777" w:rsidR="00917B60" w:rsidRPr="00917B60" w:rsidRDefault="00917B60" w:rsidP="00917B60">
      <w:r w:rsidRPr="00917B60">
        <w:t>Reduce cash levels to ensure limited money is on hand to act on new opportunities or respond to unpredictable movements.</w:t>
      </w:r>
    </w:p>
    <w:p w14:paraId="40F4137F" w14:textId="77777777" w:rsidR="00917B60" w:rsidRPr="00917B60" w:rsidRDefault="00917B60" w:rsidP="00917B60">
      <w:r w:rsidRPr="00917B60">
        <w:t>Maintaining appropriate liquidity can give investors greater flexibility during uncertain periods and reduce the need to make forced investment decisions.</w:t>
      </w:r>
    </w:p>
    <w:p w14:paraId="6E9CB9EA" w14:textId="77777777" w:rsidR="00917B60" w:rsidRPr="00917B60" w:rsidRDefault="00917B60" w:rsidP="00917B60">
      <w:pPr>
        <w:rPr>
          <w:b/>
          <w:bCs/>
        </w:rPr>
      </w:pPr>
      <w:r w:rsidRPr="00917B60">
        <w:rPr>
          <w:b/>
          <w:bCs/>
        </w:rPr>
        <w:t>Narrow Your Focus</w:t>
      </w:r>
    </w:p>
    <w:p w14:paraId="0D952A7D" w14:textId="77777777" w:rsidR="00917B60" w:rsidRPr="00917B60" w:rsidRDefault="00917B60" w:rsidP="00917B60">
      <w:r w:rsidRPr="00917B60">
        <w:t>Avoid getting involved in sometimes risky or highly speculative projects during heightened risk or uncertainty.</w:t>
      </w:r>
    </w:p>
    <w:p w14:paraId="2E8BC737" w14:textId="77777777" w:rsidR="00917B60" w:rsidRPr="00917B60" w:rsidRDefault="00917B60" w:rsidP="00917B60">
      <w:r w:rsidRPr="00917B60">
        <w:t>Instead, focus on investments and strategies that remain aligned with financial objectives, risk tolerance, and long-term plans.</w:t>
      </w:r>
    </w:p>
    <w:p w14:paraId="43665F99" w14:textId="77777777" w:rsidR="00917B60" w:rsidRPr="00917B60" w:rsidRDefault="00917B60" w:rsidP="00917B60">
      <w:r w:rsidRPr="00917B60">
        <w:t>Economic-calendar information can help investors identify periods that may require greater caution, but it should be considered alongside portfolio fundamentals and individual financial objectives rather than used as a standalone signal.</w:t>
      </w:r>
    </w:p>
    <w:p w14:paraId="496E4986" w14:textId="77777777" w:rsidR="00917B60" w:rsidRPr="00917B60" w:rsidRDefault="00917B60" w:rsidP="00917B60">
      <w:r w:rsidRPr="00917B60">
        <w:t>The same principle is increasingly being supported by digital wealth management platforms, where portfolio analytics and financial planning tools can help investors and advisors monitor exposures and evaluate different scenarios.</w:t>
      </w:r>
    </w:p>
    <w:p w14:paraId="27076476" w14:textId="77777777" w:rsidR="00917B60" w:rsidRPr="00917B60" w:rsidRDefault="00917B60" w:rsidP="00917B60">
      <w:r w:rsidRPr="00917B60">
        <w:t xml:space="preserve">The competitive environment is also evolving as technology providers expand their wealth management capabilities. </w:t>
      </w:r>
      <w:commentRangeStart w:id="9"/>
      <w:r w:rsidRPr="00917B60">
        <w:t xml:space="preserve">Companies such as </w:t>
      </w:r>
      <w:r w:rsidRPr="00917B60">
        <w:rPr>
          <w:b/>
          <w:bCs/>
        </w:rPr>
        <w:t>Avaloq, Backbase, Broadridge Financial Solutions, and Temenos</w:t>
      </w:r>
      <w:r w:rsidRPr="00917B60">
        <w:t xml:space="preserve"> are among the notable participants in the wealth management platform market</w:t>
      </w:r>
      <w:commentRangeEnd w:id="9"/>
      <w:r w:rsidR="000F3F49" w:rsidRPr="00917B60">
        <w:rPr>
          <w:rStyle w:val="CommentReference"/>
          <w:sz w:val="22"/>
          <w:szCs w:val="22"/>
        </w:rPr>
        <w:commentReference w:id="9"/>
      </w:r>
      <w:r w:rsidRPr="00917B60">
        <w:t>. Their solutions span areas such as digital wealth management, portfolio management, advisor workflows, client engagement, and broader financial technology infrastructure. Their presence reflects the industry's movement toward connected platforms that bring financial planning, analytics, reporting, and market information together rather than relying on isolated financial tools.</w:t>
      </w:r>
    </w:p>
    <w:p w14:paraId="61A5C0FB" w14:textId="77777777" w:rsidR="00917B60" w:rsidRPr="00917B60" w:rsidRDefault="00917B60" w:rsidP="00917B60">
      <w:pPr>
        <w:rPr>
          <w:b/>
          <w:bCs/>
        </w:rPr>
      </w:pPr>
      <w:r w:rsidRPr="00917B60">
        <w:rPr>
          <w:b/>
          <w:bCs/>
        </w:rPr>
        <w:t>Docking the Ship</w:t>
      </w:r>
    </w:p>
    <w:p w14:paraId="2EE94D47" w14:textId="77777777" w:rsidR="00917B60" w:rsidRPr="00917B60" w:rsidRDefault="00917B60" w:rsidP="00917B60">
      <w:r w:rsidRPr="00917B60">
        <w:t>As with navigation through an economic calendar, effective financial planning is about preparing for market movements, planning appropriate strategies, and being able to adjust them when necessary.</w:t>
      </w:r>
    </w:p>
    <w:p w14:paraId="47466C71" w14:textId="77777777" w:rsidR="00917B60" w:rsidRPr="00917B60" w:rsidRDefault="00917B60" w:rsidP="00917B60">
      <w:r w:rsidRPr="00917B60">
        <w:t>With the right tools and a focus on both the big picture and the small details, managing the financial year and steering a business or investment strategy in the right direction becomes more achievable.</w:t>
      </w:r>
    </w:p>
    <w:p w14:paraId="73BB081C" w14:textId="77777777" w:rsidR="00917B60" w:rsidRPr="00917B60" w:rsidRDefault="00917B60" w:rsidP="00917B60">
      <w:r w:rsidRPr="00917B60">
        <w:t>The growing use of digital wealth management platforms adds another layer to this process. Human advisory, robo-advisory, and hybrid models are increasingly being used to support different types of investors, while portfolio analytics and automated tools can help monitor financial decisions.</w:t>
      </w:r>
    </w:p>
    <w:p w14:paraId="54C59F98" w14:textId="77777777" w:rsidR="00917B60" w:rsidRPr="00917B60" w:rsidRDefault="00917B60" w:rsidP="00917B60">
      <w:r w:rsidRPr="00917B60">
        <w:lastRenderedPageBreak/>
        <w:t>In summary, economic-calendar strategies can be adopted when budgeting and planning the financial year. Used appropriately, they can support better awareness of market conditions and help investors and wealth managers respond to changing economic circumstances.</w:t>
      </w:r>
    </w:p>
    <w:p w14:paraId="3C887957" w14:textId="77777777" w:rsidR="00917B60" w:rsidRPr="00917B60" w:rsidRDefault="00917B60" w:rsidP="00917B60">
      <w:r w:rsidRPr="00917B60">
        <w:t>The economic calendar does not need to be used as a tool for predicting every market movement. Instead, it can serve as a reminder to stay informed, review financial strategies, and understand the economic forces that may affect investments.</w:t>
      </w:r>
    </w:p>
    <w:p w14:paraId="5AA3C064" w14:textId="77777777" w:rsidR="00917B60" w:rsidRPr="00917B60" w:rsidRDefault="00917B60" w:rsidP="00917B60">
      <w:r w:rsidRPr="00917B60">
        <w:t>At the same time, the evolution of wealth management platforms shows how technology can make this process more connected. AI and data analytics can help interpret large volumes of information, cloud-based platforms can connect financial workflows, and human advisors can provide the judgment and personalization required for complex financial decisions.</w:t>
      </w:r>
    </w:p>
    <w:p w14:paraId="5718A899" w14:textId="77777777" w:rsidR="00917B60" w:rsidRPr="00917B60" w:rsidRDefault="00917B60" w:rsidP="00917B60">
      <w:r w:rsidRPr="00917B60">
        <w:t xml:space="preserve">The objective is not to predict every storm but to build financial strategies capable of navigating changing conditions and converting potential </w:t>
      </w:r>
      <w:r w:rsidRPr="000F3F49">
        <w:t>challenges into informed opportunities.</w:t>
      </w:r>
    </w:p>
    <w:p w14:paraId="4383D1DE" w14:textId="77777777" w:rsidR="00DE4E5F" w:rsidRDefault="00DE4E5F"/>
    <w:sectPr w:rsidR="00DE4E5F">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ishita Lamba" w:date="2026-08-14T00:14:00Z" w:initials="NL">
    <w:p w14:paraId="71C6F96A" w14:textId="36AB623C" w:rsidR="00A21B8F" w:rsidRDefault="00A21B8F">
      <w:pPr>
        <w:pStyle w:val="CommentText"/>
      </w:pPr>
      <w:r>
        <w:rPr>
          <w:rStyle w:val="CommentReference"/>
        </w:rPr>
        <w:annotationRef/>
      </w:r>
      <w:r>
        <w:t>This is from client’s blog</w:t>
      </w:r>
    </w:p>
  </w:comment>
  <w:comment w:id="1" w:author="Nishita Lamba" w:date="2026-08-14T00:14:00Z" w:initials="NL">
    <w:p w14:paraId="67E45D41" w14:textId="3EDA6F10" w:rsidR="00A21B8F" w:rsidRDefault="00A21B8F">
      <w:pPr>
        <w:pStyle w:val="CommentText"/>
      </w:pPr>
      <w:r>
        <w:rPr>
          <w:rStyle w:val="CommentReference"/>
        </w:rPr>
        <w:annotationRef/>
      </w:r>
    </w:p>
  </w:comment>
  <w:comment w:id="2" w:author="Nishita Lamba" w:date="2026-08-14T00:21:00Z" w:initials="NL">
    <w:p w14:paraId="5CE39A98" w14:textId="7AD8E5FC" w:rsidR="00A21B8F" w:rsidRDefault="00A21B8F">
      <w:pPr>
        <w:pStyle w:val="CommentText"/>
      </w:pPr>
      <w:r>
        <w:rPr>
          <w:rStyle w:val="CommentReference"/>
        </w:rPr>
        <w:annotationRef/>
      </w:r>
      <w:r>
        <w:t>This is from the Client’s Blog</w:t>
      </w:r>
    </w:p>
  </w:comment>
  <w:comment w:id="3" w:author="Nishita Lamba" w:date="2026-08-14T00:22:00Z" w:initials="NL">
    <w:p w14:paraId="6DFBEB15" w14:textId="77640381" w:rsidR="00A21B8F" w:rsidRDefault="00A21B8F">
      <w:pPr>
        <w:pStyle w:val="CommentText"/>
      </w:pPr>
      <w:r>
        <w:rPr>
          <w:rStyle w:val="CommentReference"/>
        </w:rPr>
        <w:annotationRef/>
      </w:r>
      <w:r>
        <w:t xml:space="preserve">I have added this para to relate it with wealth management </w:t>
      </w:r>
    </w:p>
  </w:comment>
  <w:comment w:id="4" w:author="Nishita Lamba" w:date="2026-08-14T00:25:00Z" w:initials="NL">
    <w:p w14:paraId="05DA4D14" w14:textId="71CF3EFE" w:rsidR="000F3F49" w:rsidRDefault="000F3F49">
      <w:pPr>
        <w:pStyle w:val="CommentText"/>
      </w:pPr>
      <w:r>
        <w:rPr>
          <w:rStyle w:val="CommentReference"/>
        </w:rPr>
        <w:annotationRef/>
      </w:r>
      <w:r>
        <w:t>I have added trends</w:t>
      </w:r>
    </w:p>
  </w:comment>
  <w:comment w:id="5" w:author="Nishita Lamba" w:date="2026-08-14T00:25:00Z" w:initials="NL">
    <w:p w14:paraId="36B08E89" w14:textId="233ECD11" w:rsidR="000F3F49" w:rsidRDefault="000F3F49">
      <w:pPr>
        <w:pStyle w:val="CommentText"/>
      </w:pPr>
      <w:r>
        <w:rPr>
          <w:rStyle w:val="CommentReference"/>
        </w:rPr>
        <w:annotationRef/>
      </w:r>
      <w:r>
        <w:t>This is from the blog</w:t>
      </w:r>
    </w:p>
  </w:comment>
  <w:comment w:id="6" w:author="Nishita Lamba" w:date="2026-08-14T00:25:00Z" w:initials="NL">
    <w:p w14:paraId="3B4DB9ED" w14:textId="7A7BA8C2" w:rsidR="000F3F49" w:rsidRDefault="000F3F49">
      <w:pPr>
        <w:pStyle w:val="CommentText"/>
      </w:pPr>
      <w:r>
        <w:rPr>
          <w:rStyle w:val="CommentReference"/>
        </w:rPr>
        <w:annotationRef/>
      </w:r>
      <w:r>
        <w:t xml:space="preserve">Added this para </w:t>
      </w:r>
    </w:p>
  </w:comment>
  <w:comment w:id="7" w:author="Nishita Lamba" w:date="2026-08-14T00:28:00Z" w:initials="NL">
    <w:p w14:paraId="75061F3F" w14:textId="474CAC13" w:rsidR="000F3F49" w:rsidRDefault="000F3F49">
      <w:pPr>
        <w:pStyle w:val="CommentText"/>
      </w:pPr>
      <w:r>
        <w:rPr>
          <w:rStyle w:val="CommentReference"/>
        </w:rPr>
        <w:annotationRef/>
      </w:r>
      <w:r>
        <w:t>I have added segmentation here</w:t>
      </w:r>
    </w:p>
  </w:comment>
  <w:comment w:id="8" w:author="Nishita Lamba" w:date="2026-08-14T00:29:00Z" w:initials="NL">
    <w:p w14:paraId="63723855" w14:textId="6A176A7A" w:rsidR="000F3F49" w:rsidRDefault="000F3F49">
      <w:pPr>
        <w:pStyle w:val="CommentText"/>
      </w:pPr>
      <w:r>
        <w:rPr>
          <w:rStyle w:val="CommentReference"/>
        </w:rPr>
        <w:annotationRef/>
      </w:r>
      <w:r>
        <w:t>Country Analysis</w:t>
      </w:r>
    </w:p>
  </w:comment>
  <w:comment w:id="9" w:author="Nishita Lamba" w:date="2026-08-14T00:30:00Z" w:initials="NL">
    <w:p w14:paraId="1F5CB146" w14:textId="38215DAF" w:rsidR="000F3F49" w:rsidRDefault="000F3F49">
      <w:pPr>
        <w:pStyle w:val="CommentText"/>
      </w:pPr>
      <w:r>
        <w:rPr>
          <w:rStyle w:val="CommentReference"/>
        </w:rPr>
        <w:annotationRef/>
      </w:r>
      <w:r>
        <w:t>Key players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1C6F96A" w15:done="0"/>
  <w15:commentEx w15:paraId="67E45D41" w15:done="0"/>
  <w15:commentEx w15:paraId="5CE39A98" w15:done="0"/>
  <w15:commentEx w15:paraId="6DFBEB15" w15:done="0"/>
  <w15:commentEx w15:paraId="05DA4D14" w15:done="0"/>
  <w15:commentEx w15:paraId="36B08E89" w15:done="0"/>
  <w15:commentEx w15:paraId="3B4DB9ED" w15:done="0"/>
  <w15:commentEx w15:paraId="75061F3F" w15:done="0"/>
  <w15:commentEx w15:paraId="63723855" w15:done="0"/>
  <w15:commentEx w15:paraId="1F5CB14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36BDC1C" w16cex:dateUtc="2026-08-13T18:44:00Z"/>
  <w16cex:commentExtensible w16cex:durableId="74AB21E2" w16cex:dateUtc="2026-08-13T18:44:00Z"/>
  <w16cex:commentExtensible w16cex:durableId="1595F328" w16cex:dateUtc="2026-08-13T18:51:00Z"/>
  <w16cex:commentExtensible w16cex:durableId="05995147" w16cex:dateUtc="2026-08-13T18:52:00Z"/>
  <w16cex:commentExtensible w16cex:durableId="44A01351" w16cex:dateUtc="2026-08-13T18:55:00Z"/>
  <w16cex:commentExtensible w16cex:durableId="2017A198" w16cex:dateUtc="2026-08-13T18:55:00Z"/>
  <w16cex:commentExtensible w16cex:durableId="3DB7D704" w16cex:dateUtc="2026-08-13T18:55:00Z"/>
  <w16cex:commentExtensible w16cex:durableId="574155B8" w16cex:dateUtc="2026-08-13T18:58:00Z"/>
  <w16cex:commentExtensible w16cex:durableId="3EBE3981" w16cex:dateUtc="2026-08-13T18:59:00Z"/>
  <w16cex:commentExtensible w16cex:durableId="441A2085" w16cex:dateUtc="2026-08-13T19: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1C6F96A" w16cid:durableId="436BDC1C"/>
  <w16cid:commentId w16cid:paraId="67E45D41" w16cid:durableId="74AB21E2"/>
  <w16cid:commentId w16cid:paraId="5CE39A98" w16cid:durableId="1595F328"/>
  <w16cid:commentId w16cid:paraId="6DFBEB15" w16cid:durableId="05995147"/>
  <w16cid:commentId w16cid:paraId="05DA4D14" w16cid:durableId="44A01351"/>
  <w16cid:commentId w16cid:paraId="36B08E89" w16cid:durableId="2017A198"/>
  <w16cid:commentId w16cid:paraId="3B4DB9ED" w16cid:durableId="3DB7D704"/>
  <w16cid:commentId w16cid:paraId="75061F3F" w16cid:durableId="574155B8"/>
  <w16cid:commentId w16cid:paraId="63723855" w16cid:durableId="3EBE3981"/>
  <w16cid:commentId w16cid:paraId="1F5CB146" w16cid:durableId="441A208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shita Lamba">
    <w15:presenceInfo w15:providerId="AD" w15:userId="S-1-5-21-1010705253-219990674-4168085166-242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F77"/>
    <w:rsid w:val="000F3F49"/>
    <w:rsid w:val="00147FE2"/>
    <w:rsid w:val="001D12AE"/>
    <w:rsid w:val="002D1F77"/>
    <w:rsid w:val="00917B60"/>
    <w:rsid w:val="009D48C3"/>
    <w:rsid w:val="00A21B8F"/>
    <w:rsid w:val="00DE4E5F"/>
    <w:rsid w:val="00F020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8B48C"/>
  <w15:chartTrackingRefBased/>
  <w15:docId w15:val="{A17542EE-2029-44D7-9213-DB25C3AD0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1F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1F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1F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1F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1F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1F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1F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1F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1F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1F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1F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1F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1F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1F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1F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1F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1F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1F77"/>
    <w:rPr>
      <w:rFonts w:eastAsiaTheme="majorEastAsia" w:cstheme="majorBidi"/>
      <w:color w:val="272727" w:themeColor="text1" w:themeTint="D8"/>
    </w:rPr>
  </w:style>
  <w:style w:type="paragraph" w:styleId="Title">
    <w:name w:val="Title"/>
    <w:basedOn w:val="Normal"/>
    <w:next w:val="Normal"/>
    <w:link w:val="TitleChar"/>
    <w:uiPriority w:val="10"/>
    <w:qFormat/>
    <w:rsid w:val="002D1F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1F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1F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1F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1F77"/>
    <w:pPr>
      <w:spacing w:before="160"/>
      <w:jc w:val="center"/>
    </w:pPr>
    <w:rPr>
      <w:i/>
      <w:iCs/>
      <w:color w:val="404040" w:themeColor="text1" w:themeTint="BF"/>
    </w:rPr>
  </w:style>
  <w:style w:type="character" w:customStyle="1" w:styleId="QuoteChar">
    <w:name w:val="Quote Char"/>
    <w:basedOn w:val="DefaultParagraphFont"/>
    <w:link w:val="Quote"/>
    <w:uiPriority w:val="29"/>
    <w:rsid w:val="002D1F77"/>
    <w:rPr>
      <w:i/>
      <w:iCs/>
      <w:color w:val="404040" w:themeColor="text1" w:themeTint="BF"/>
    </w:rPr>
  </w:style>
  <w:style w:type="paragraph" w:styleId="ListParagraph">
    <w:name w:val="List Paragraph"/>
    <w:basedOn w:val="Normal"/>
    <w:uiPriority w:val="34"/>
    <w:qFormat/>
    <w:rsid w:val="002D1F77"/>
    <w:pPr>
      <w:ind w:left="720"/>
      <w:contextualSpacing/>
    </w:pPr>
  </w:style>
  <w:style w:type="character" w:styleId="IntenseEmphasis">
    <w:name w:val="Intense Emphasis"/>
    <w:basedOn w:val="DefaultParagraphFont"/>
    <w:uiPriority w:val="21"/>
    <w:qFormat/>
    <w:rsid w:val="002D1F77"/>
    <w:rPr>
      <w:i/>
      <w:iCs/>
      <w:color w:val="2F5496" w:themeColor="accent1" w:themeShade="BF"/>
    </w:rPr>
  </w:style>
  <w:style w:type="paragraph" w:styleId="IntenseQuote">
    <w:name w:val="Intense Quote"/>
    <w:basedOn w:val="Normal"/>
    <w:next w:val="Normal"/>
    <w:link w:val="IntenseQuoteChar"/>
    <w:uiPriority w:val="30"/>
    <w:qFormat/>
    <w:rsid w:val="002D1F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1F77"/>
    <w:rPr>
      <w:i/>
      <w:iCs/>
      <w:color w:val="2F5496" w:themeColor="accent1" w:themeShade="BF"/>
    </w:rPr>
  </w:style>
  <w:style w:type="character" w:styleId="IntenseReference">
    <w:name w:val="Intense Reference"/>
    <w:basedOn w:val="DefaultParagraphFont"/>
    <w:uiPriority w:val="32"/>
    <w:qFormat/>
    <w:rsid w:val="002D1F77"/>
    <w:rPr>
      <w:b/>
      <w:bCs/>
      <w:smallCaps/>
      <w:color w:val="2F5496" w:themeColor="accent1" w:themeShade="BF"/>
      <w:spacing w:val="5"/>
    </w:rPr>
  </w:style>
  <w:style w:type="character" w:styleId="Hyperlink">
    <w:name w:val="Hyperlink"/>
    <w:basedOn w:val="DefaultParagraphFont"/>
    <w:uiPriority w:val="99"/>
    <w:unhideWhenUsed/>
    <w:rsid w:val="002D1F77"/>
    <w:rPr>
      <w:color w:val="0563C1" w:themeColor="hyperlink"/>
      <w:u w:val="single"/>
    </w:rPr>
  </w:style>
  <w:style w:type="character" w:styleId="UnresolvedMention">
    <w:name w:val="Unresolved Mention"/>
    <w:basedOn w:val="DefaultParagraphFont"/>
    <w:uiPriority w:val="99"/>
    <w:semiHidden/>
    <w:unhideWhenUsed/>
    <w:rsid w:val="002D1F77"/>
    <w:rPr>
      <w:color w:val="605E5C"/>
      <w:shd w:val="clear" w:color="auto" w:fill="E1DFDD"/>
    </w:rPr>
  </w:style>
  <w:style w:type="character" w:styleId="CommentReference">
    <w:name w:val="annotation reference"/>
    <w:basedOn w:val="DefaultParagraphFont"/>
    <w:uiPriority w:val="99"/>
    <w:semiHidden/>
    <w:unhideWhenUsed/>
    <w:rsid w:val="00A21B8F"/>
    <w:rPr>
      <w:sz w:val="16"/>
      <w:szCs w:val="16"/>
    </w:rPr>
  </w:style>
  <w:style w:type="paragraph" w:styleId="CommentText">
    <w:name w:val="annotation text"/>
    <w:basedOn w:val="Normal"/>
    <w:link w:val="CommentTextChar"/>
    <w:uiPriority w:val="99"/>
    <w:semiHidden/>
    <w:unhideWhenUsed/>
    <w:rsid w:val="00A21B8F"/>
    <w:pPr>
      <w:spacing w:line="240" w:lineRule="auto"/>
    </w:pPr>
    <w:rPr>
      <w:sz w:val="20"/>
      <w:szCs w:val="20"/>
    </w:rPr>
  </w:style>
  <w:style w:type="character" w:customStyle="1" w:styleId="CommentTextChar">
    <w:name w:val="Comment Text Char"/>
    <w:basedOn w:val="DefaultParagraphFont"/>
    <w:link w:val="CommentText"/>
    <w:uiPriority w:val="99"/>
    <w:semiHidden/>
    <w:rsid w:val="00A21B8F"/>
    <w:rPr>
      <w:sz w:val="20"/>
      <w:szCs w:val="20"/>
    </w:rPr>
  </w:style>
  <w:style w:type="paragraph" w:styleId="CommentSubject">
    <w:name w:val="annotation subject"/>
    <w:basedOn w:val="CommentText"/>
    <w:next w:val="CommentText"/>
    <w:link w:val="CommentSubjectChar"/>
    <w:uiPriority w:val="99"/>
    <w:semiHidden/>
    <w:unhideWhenUsed/>
    <w:rsid w:val="00A21B8F"/>
    <w:rPr>
      <w:b/>
      <w:bCs/>
    </w:rPr>
  </w:style>
  <w:style w:type="character" w:customStyle="1" w:styleId="CommentSubjectChar">
    <w:name w:val="Comment Subject Char"/>
    <w:basedOn w:val="CommentTextChar"/>
    <w:link w:val="CommentSubject"/>
    <w:uiPriority w:val="99"/>
    <w:semiHidden/>
    <w:rsid w:val="00A21B8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radingview.com/economic-calendar/" TargetMode="Externa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theme" Target="theme/theme1.xml"/><Relationship Id="rId5" Type="http://schemas.microsoft.com/office/2011/relationships/commentsExtended" Target="commentsExtended.xml"/><Relationship Id="rId10" Type="http://schemas.microsoft.com/office/2011/relationships/people" Target="people.xml"/><Relationship Id="rId4" Type="http://schemas.openxmlformats.org/officeDocument/2006/relationships/comments" Target="commen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7</Pages>
  <Words>2905</Words>
  <Characters>16560</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Nishita Lamba</dc:creator>
  <cp:keywords/>
  <dc:description/>
  <cp:lastModifiedBy>Nishita Lamba</cp:lastModifiedBy>
  <cp:revision>3</cp:revision>
  <dcterms:created xsi:type="dcterms:W3CDTF">2026-08-13T07:21:00Z</dcterms:created>
  <dcterms:modified xsi:type="dcterms:W3CDTF">2026-08-13T19:05:00Z</dcterms:modified>
</cp:coreProperties>
</file>