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BE0" w:rsidRDefault="006F2379">
      <w:pPr>
        <w:pStyle w:val="Heading1"/>
        <w:spacing w:after="200"/>
        <w:jc w:val="center"/>
      </w:pPr>
      <w:r>
        <w:t>ESG Data Pipeline — Progress Report</w:t>
      </w:r>
    </w:p>
    <w:p w:rsidR="00833BE0" w:rsidRDefault="006F2379">
      <w:pPr>
        <w:pStyle w:val="Heading2"/>
        <w:spacing w:after="200"/>
      </w:pPr>
      <w:r>
        <w:t>1. Task Overview</w:t>
      </w:r>
    </w:p>
    <w:p w:rsidR="00394FA5" w:rsidRDefault="00394FA5" w:rsidP="000F3BDE">
      <w:pPr>
        <w:spacing w:after="120"/>
        <w:rPr>
          <w:b/>
          <w:bCs/>
        </w:rPr>
      </w:pPr>
    </w:p>
    <w:p w:rsidR="00833BE0" w:rsidRDefault="006F2379" w:rsidP="000F3BDE">
      <w:pPr>
        <w:spacing w:after="120"/>
      </w:pPr>
      <w:r>
        <w:rPr>
          <w:b/>
          <w:bCs/>
        </w:rPr>
        <w:t>Task Assigned to: Rupen Kumar</w:t>
      </w:r>
    </w:p>
    <w:p w:rsidR="00394FA5" w:rsidRDefault="00394FA5" w:rsidP="00A8214B">
      <w:pPr>
        <w:spacing w:after="120"/>
      </w:pPr>
    </w:p>
    <w:p w:rsidR="00833BE0" w:rsidRDefault="006F2379" w:rsidP="00A8214B">
      <w:pPr>
        <w:spacing w:after="120"/>
      </w:pPr>
      <w:r>
        <w:t xml:space="preserve">The objective is to </w:t>
      </w:r>
      <w:r>
        <w:rPr>
          <w:b/>
          <w:bCs/>
        </w:rPr>
        <w:t>fetch and provide ESG (Environmental, Social, Governance) data for the key players of a given market</w:t>
      </w:r>
      <w:r>
        <w:t xml:space="preserve"> — pillar scores (E/S/G), risk ratings, and the underlying metrics for each company.</w:t>
      </w:r>
    </w:p>
    <w:p w:rsidR="00833BE0" w:rsidRDefault="00833BE0">
      <w:pPr>
        <w:pBdr>
          <w:bottom w:val="single" w:sz="6" w:space="1" w:color="auto"/>
        </w:pBdr>
        <w:spacing w:after="120"/>
      </w:pPr>
    </w:p>
    <w:p w:rsidR="00833BE0" w:rsidRDefault="00833BE0">
      <w:pPr>
        <w:spacing w:after="200"/>
      </w:pPr>
      <w:bookmarkStart w:id="0" w:name="_GoBack"/>
      <w:bookmarkEnd w:id="0"/>
    </w:p>
    <w:p w:rsidR="00833BE0" w:rsidRDefault="006F2379">
      <w:pPr>
        <w:pStyle w:val="Heading2"/>
        <w:spacing w:after="200"/>
      </w:pPr>
      <w:r>
        <w:t>2. Procured Data (public ESG sources)</w:t>
      </w:r>
    </w:p>
    <w:p w:rsidR="00833BE0" w:rsidRDefault="006F2379">
      <w:pPr>
        <w:spacing w:after="120"/>
      </w:pPr>
      <w:r>
        <w:t>Where companies already have disclosed or assessed ESG data, we use it directly instead of estimating. Sources ingested:</w:t>
      </w: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 Cor</w:t>
      </w:r>
      <w:r>
        <w:rPr>
          <w:b/>
          <w:bCs/>
        </w:rPr>
        <w:t>p (B Lab)</w:t>
      </w:r>
      <w:r>
        <w:t xml:space="preserve"> — impact assessment scores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Upright Project</w:t>
      </w:r>
      <w:r>
        <w:t xml:space="preserve"> — net-impact metrics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World Bank</w:t>
      </w:r>
      <w:r>
        <w:t xml:space="preserve"> — country-level ESG baselines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Corporate disclosures / GRI / CDP</w:t>
      </w:r>
      <w:r>
        <w:t xml:space="preserve"> — directly reported metrics</w:t>
      </w: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spacing w:after="120"/>
      </w:pPr>
      <w:r>
        <w:rPr>
          <w:b/>
          <w:bCs/>
        </w:rPr>
        <w:t>Currently on hand: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20,000+ company ESG records</w:t>
      </w:r>
      <w:r>
        <w:t xml:space="preserve"> (B Corp ~10.3k + Upright ~10.1</w:t>
      </w:r>
      <w:r>
        <w:t>k)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210</w:t>
      </w:r>
      <w:r>
        <w:t xml:space="preserve"> country ESG baselines (World Bank)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~100</w:t>
      </w:r>
      <w:r>
        <w:t xml:space="preserve"> ESG metric definitions (GRI / SASB aligned)</w:t>
      </w: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spacing w:after="120"/>
      </w:pPr>
      <w:r>
        <w:t xml:space="preserve">When a market's key players match a company in this pool, their </w:t>
      </w:r>
      <w:r>
        <w:rPr>
          <w:b/>
          <w:bCs/>
        </w:rPr>
        <w:t>real data is used directly</w:t>
      </w:r>
      <w:r>
        <w:t>; only undisclosed companies go through estimation.</w:t>
      </w:r>
    </w:p>
    <w:p w:rsidR="00833BE0" w:rsidRDefault="006F2379">
      <w:pPr>
        <w:spacing w:after="200"/>
      </w:pPr>
      <w:r>
        <w:t xml:space="preserve"> </w:t>
      </w:r>
    </w:p>
    <w:p w:rsidR="00833BE0" w:rsidRDefault="00833BE0">
      <w:pPr>
        <w:pBdr>
          <w:bottom w:val="single" w:sz="6" w:space="1" w:color="auto"/>
        </w:pBdr>
        <w:spacing w:after="120"/>
      </w:pP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pStyle w:val="Heading2"/>
        <w:spacing w:after="200"/>
      </w:pPr>
      <w:r>
        <w:t>3. The Estimation Agent</w:t>
      </w:r>
    </w:p>
    <w:p w:rsidR="00833BE0" w:rsidRDefault="006F2379">
      <w:pPr>
        <w:spacing w:after="120"/>
      </w:pPr>
      <w:r>
        <w:t xml:space="preserve">Most niche-market companies (small/private brands, subsidiaries) don't disclose ESG data. For these, an </w:t>
      </w:r>
      <w:r>
        <w:rPr>
          <w:b/>
          <w:bCs/>
        </w:rPr>
        <w:t>agentic estimation pipeline</w:t>
      </w:r>
      <w:r>
        <w:t xml:space="preserve"> produces size-aware estimates.</w:t>
      </w: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spacing w:after="120"/>
      </w:pPr>
      <w:r>
        <w:rPr>
          <w:b/>
          <w:bCs/>
        </w:rPr>
        <w:lastRenderedPageBreak/>
        <w:t>When it runs:</w:t>
      </w:r>
      <w:r>
        <w:t xml:space="preserve"> automatically in the background when a market's ESG d</w:t>
      </w:r>
      <w:r>
        <w:t>ata is requested, for any unprocessed company. The API responds immediately; the frontend polls until results are ready.</w:t>
      </w: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spacing w:after="120"/>
      </w:pPr>
      <w:r>
        <w:rPr>
          <w:b/>
          <w:bCs/>
        </w:rPr>
        <w:t>How it works (stages):</w:t>
      </w:r>
    </w:p>
    <w:p w:rsidR="00833BE0" w:rsidRDefault="006F2379">
      <w:pPr>
        <w:spacing w:after="100"/>
        <w:ind w:left="20"/>
      </w:pPr>
      <w:r>
        <w:t xml:space="preserve">1. </w:t>
      </w:r>
      <w:r>
        <w:rPr>
          <w:b/>
          <w:bCs/>
        </w:rPr>
        <w:t>Signal gathering</w:t>
      </w:r>
      <w:r>
        <w:t xml:space="preserve"> — real-world evidence from news, RSS feeds, and ESG sources (CDP, </w:t>
      </w:r>
      <w:proofErr w:type="spellStart"/>
      <w:r>
        <w:t>SBTi</w:t>
      </w:r>
      <w:proofErr w:type="spellEnd"/>
      <w:r>
        <w:t>, Wikipedia, sustain</w:t>
      </w:r>
      <w:r>
        <w:t>ability reports). Cached for reuse.</w:t>
      </w:r>
    </w:p>
    <w:p w:rsidR="00833BE0" w:rsidRDefault="006F2379">
      <w:pPr>
        <w:spacing w:after="100"/>
        <w:ind w:left="20"/>
      </w:pPr>
      <w:r>
        <w:t xml:space="preserve">2. </w:t>
      </w:r>
      <w:r>
        <w:rPr>
          <w:b/>
          <w:bCs/>
        </w:rPr>
        <w:t>Company metadata</w:t>
      </w:r>
      <w:r>
        <w:t xml:space="preserve"> — size, employees, revenue, sector, country (anchors estimates to actual scale).</w:t>
      </w:r>
    </w:p>
    <w:p w:rsidR="00833BE0" w:rsidRDefault="006F2379">
      <w:pPr>
        <w:spacing w:after="100"/>
        <w:ind w:left="20"/>
      </w:pPr>
      <w:r>
        <w:t xml:space="preserve">3. </w:t>
      </w:r>
      <w:r>
        <w:rPr>
          <w:b/>
          <w:bCs/>
        </w:rPr>
        <w:t>Country ESG baseline</w:t>
      </w:r>
      <w:r>
        <w:t xml:space="preserve"> — World Bank context for the company's country.</w:t>
      </w:r>
    </w:p>
    <w:p w:rsidR="00833BE0" w:rsidRDefault="006F2379">
      <w:pPr>
        <w:spacing w:after="100"/>
        <w:ind w:left="20"/>
      </w:pPr>
      <w:r>
        <w:t xml:space="preserve">4. </w:t>
      </w:r>
      <w:r>
        <w:rPr>
          <w:b/>
          <w:bCs/>
        </w:rPr>
        <w:t>LLM estimation</w:t>
      </w:r>
      <w:r>
        <w:t xml:space="preserve"> — estimates core ESG metrics </w:t>
      </w:r>
      <w:r>
        <w:t>in native units, each with a confidence score, strictly anchored to company size and sector.</w:t>
      </w:r>
    </w:p>
    <w:p w:rsidR="00833BE0" w:rsidRDefault="006F2379">
      <w:pPr>
        <w:spacing w:after="100"/>
        <w:ind w:left="20"/>
      </w:pPr>
      <w:r>
        <w:t xml:space="preserve">5. </w:t>
      </w:r>
      <w:r>
        <w:rPr>
          <w:b/>
          <w:bCs/>
        </w:rPr>
        <w:t>Evaluator agent</w:t>
      </w:r>
      <w:r>
        <w:t xml:space="preserve"> — validates values and corrects any that are clearly implausible.</w:t>
      </w:r>
    </w:p>
    <w:p w:rsidR="00833BE0" w:rsidRDefault="006F2379">
      <w:pPr>
        <w:spacing w:after="100"/>
        <w:ind w:left="20"/>
      </w:pPr>
      <w:r>
        <w:t xml:space="preserve">6. </w:t>
      </w:r>
      <w:proofErr w:type="spellStart"/>
      <w:r>
        <w:rPr>
          <w:b/>
          <w:bCs/>
        </w:rPr>
        <w:t>Explainability</w:t>
      </w:r>
      <w:proofErr w:type="spellEnd"/>
      <w:r>
        <w:rPr>
          <w:b/>
          <w:bCs/>
        </w:rPr>
        <w:t xml:space="preserve"> agent</w:t>
      </w:r>
      <w:r>
        <w:t xml:space="preserve"> — </w:t>
      </w:r>
      <w:proofErr w:type="gramStart"/>
      <w:r>
        <w:t>plain</w:t>
      </w:r>
      <w:proofErr w:type="gramEnd"/>
      <w:r>
        <w:t>-English summary of how the scores were derived</w:t>
      </w:r>
      <w:r>
        <w:t>.</w:t>
      </w: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spacing w:after="120"/>
      </w:pPr>
      <w:r>
        <w:rPr>
          <w:b/>
          <w:bCs/>
        </w:rPr>
        <w:t>Scoring — fixed benchmark bands:</w:t>
      </w:r>
      <w:r>
        <w:t xml:space="preserve"> Metric values are scored 0–100 against </w:t>
      </w:r>
      <w:r>
        <w:rPr>
          <w:b/>
          <w:bCs/>
        </w:rPr>
        <w:t>fixed real-world benchmarks</w:t>
      </w:r>
      <w:r>
        <w:t xml:space="preserve"> (not by comparing companies to each other), so each company is judged on its own merit. Emissions/energy/water are </w:t>
      </w:r>
      <w:r>
        <w:rPr>
          <w:b/>
          <w:bCs/>
        </w:rPr>
        <w:t>normalised by revenue</w:t>
      </w:r>
      <w:r>
        <w:t xml:space="preserve"> first, so large firms aren't penalised for scale. Scores roll up into E/S/G pillars (weighted 40/35/25) → total score and a Leader / Follower / Laggard rating.</w:t>
      </w:r>
    </w:p>
    <w:p w:rsidR="00833BE0" w:rsidRDefault="006F2379">
      <w:pPr>
        <w:spacing w:after="200"/>
      </w:pPr>
      <w:r>
        <w:t xml:space="preserve"> </w:t>
      </w:r>
    </w:p>
    <w:p w:rsidR="00833BE0" w:rsidRDefault="00833BE0">
      <w:pPr>
        <w:pBdr>
          <w:bottom w:val="single" w:sz="6" w:space="1" w:color="auto"/>
        </w:pBdr>
        <w:spacing w:after="120"/>
      </w:pP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pStyle w:val="Heading2"/>
        <w:spacing w:after="200"/>
      </w:pPr>
      <w:r>
        <w:t>4. Final JSON Response (example)</w:t>
      </w:r>
    </w:p>
    <w:p w:rsidR="00833BE0" w:rsidRDefault="006F2379">
      <w:pPr>
        <w:spacing w:after="120"/>
      </w:pPr>
      <w:r>
        <w:t>Each company returns pillar scores, risk ratings, data so</w:t>
      </w:r>
      <w:r>
        <w:t xml:space="preserve">urce, and ~18 core metrics — each tagged with </w:t>
      </w:r>
      <w:r>
        <w:rPr>
          <w:rFonts w:ascii="Courier New" w:eastAsia="Courier New" w:hAnsi="Courier New" w:cs="Courier New"/>
          <w:shd w:val="clear" w:color="auto" w:fill="F1F5F9"/>
        </w:rPr>
        <w:t>estimated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confidence</w:t>
      </w:r>
      <w:r>
        <w:t>, and a value.</w:t>
      </w: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"market": "Plant-Based Cheese Market",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industry_avg_esg_score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65.6,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total_companies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10,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scoring_metho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fixed_benchmark_revenue_intensity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"companies": 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"name": "Bel Group",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"country": "France",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data_source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agentic_estimated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"rating": "L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eader",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esg_scores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"environment": { "score": 85.4, "risk": "Low"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"social":      { "score": 74.9, "risk": "Medium"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"governance":  { "score": 94.5, "risk":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"Low"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"total":       { "score": 84.0, "risk": "Low"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environmental_metrics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"scope_1_emissions": { "value": "15,000 tCO2e", "score": 100.0, "estimated": tru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e, "confidence": 0.6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renewable_energy_pct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"value": "25%", "score": 33.3, "estimated": true, "confidence": 0.5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water_withdrawal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{ "value": "3,000,000 m3", "score": 73.9, "estimated": true, "confi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dence": 0.5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// ... + scope 2/3, energy, waste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social_metrics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female_employees_pct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"value": "45%", "score": 87.5, "estimated": true, "confidence": 0.5 }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// ... + board %, turnover, injury rate, employee count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governance_metrics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anti_corruption_policy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{ "value": "Yes", "score": 100.0, "estimated": true, "confid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ence": 0.8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// ... + board independence,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whistleblower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ESG report, audit, revenue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metrics_estimated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18,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reporting_year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2026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// ... one object per company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spacing w:after="120"/>
      </w:pPr>
      <w:r>
        <w:t xml:space="preserve">Each metric carries </w:t>
      </w:r>
      <w:r>
        <w:rPr>
          <w:rFonts w:ascii="Courier New" w:eastAsia="Courier New" w:hAnsi="Courier New" w:cs="Courier New"/>
          <w:shd w:val="clear" w:color="auto" w:fill="F1F5F9"/>
        </w:rPr>
        <w:t>estimated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confidence</w:t>
      </w:r>
      <w:r>
        <w:t xml:space="preserve">, a unit-formatted </w:t>
      </w:r>
      <w:r>
        <w:rPr>
          <w:rFonts w:ascii="Courier New" w:eastAsia="Courier New" w:hAnsi="Courier New" w:cs="Courier New"/>
          <w:shd w:val="clear" w:color="auto" w:fill="F1F5F9"/>
        </w:rPr>
        <w:t>value</w:t>
      </w:r>
      <w:r>
        <w:t xml:space="preserve">, and its </w:t>
      </w:r>
      <w:r>
        <w:rPr>
          <w:rFonts w:ascii="Courier New" w:eastAsia="Courier New" w:hAnsi="Courier New" w:cs="Courier New"/>
          <w:shd w:val="clear" w:color="auto" w:fill="F1F5F9"/>
        </w:rPr>
        <w:t>score</w:t>
      </w:r>
      <w:r>
        <w:t xml:space="preserve"> (0–100).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data_source</w:t>
      </w:r>
      <w:proofErr w:type="spellEnd"/>
      <w:r>
        <w:t xml:space="preserve"> is </w:t>
      </w:r>
      <w:r>
        <w:rPr>
          <w:rFonts w:ascii="Courier New" w:eastAsia="Courier New" w:hAnsi="Courier New" w:cs="Courier New"/>
          <w:shd w:val="clear" w:color="auto" w:fill="F1F5F9"/>
        </w:rPr>
        <w:t>reported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agentic_estimated</w:t>
      </w:r>
      <w:proofErr w:type="spellEnd"/>
      <w:r>
        <w:t xml:space="preserve">, or </w:t>
      </w:r>
      <w:r>
        <w:rPr>
          <w:rFonts w:ascii="Courier New" w:eastAsia="Courier New" w:hAnsi="Courier New" w:cs="Courier New"/>
          <w:shd w:val="clear" w:color="auto" w:fill="F1F5F9"/>
        </w:rPr>
        <w:t>mixed</w:t>
      </w:r>
      <w:r>
        <w:t>.</w:t>
      </w:r>
    </w:p>
    <w:p w:rsidR="00833BE0" w:rsidRDefault="006F2379">
      <w:pPr>
        <w:spacing w:after="200"/>
      </w:pPr>
      <w:r>
        <w:t xml:space="preserve"> </w:t>
      </w:r>
    </w:p>
    <w:p w:rsidR="00833BE0" w:rsidRDefault="00833BE0">
      <w:pPr>
        <w:pBdr>
          <w:bottom w:val="single" w:sz="6" w:space="1" w:color="auto"/>
        </w:pBdr>
        <w:spacing w:after="120"/>
      </w:pP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pStyle w:val="Heading2"/>
        <w:spacing w:after="200"/>
      </w:pPr>
      <w:r>
        <w:t>5. Status &amp; Issues Addressed</w:t>
      </w:r>
    </w:p>
    <w:p w:rsidR="00833BE0" w:rsidRDefault="006F2379">
      <w:pPr>
        <w:spacing w:after="120"/>
      </w:pPr>
      <w:r>
        <w:t xml:space="preserve">The model is </w:t>
      </w:r>
      <w:r>
        <w:rPr>
          <w:b/>
          <w:bCs/>
        </w:rPr>
        <w:t>currently under active testing</w:t>
      </w:r>
      <w:r>
        <w:t>. Issues surfaced and resolved:</w:t>
      </w: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Wrong / implausible estimates</w:t>
      </w:r>
      <w:r>
        <w:t xml:space="preserve"> → added the </w:t>
      </w:r>
      <w:r>
        <w:rPr>
          <w:b/>
          <w:bCs/>
        </w:rPr>
        <w:t>Evaluator agent</w:t>
      </w:r>
      <w:r>
        <w:t xml:space="preserve"> to validate and correct values.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Large companies unfairly compared to small ones</w:t>
      </w:r>
      <w:r>
        <w:t xml:space="preserve"> → added </w:t>
      </w:r>
      <w:r>
        <w:rPr>
          <w:b/>
          <w:bCs/>
        </w:rPr>
        <w:t>reve</w:t>
      </w:r>
      <w:r>
        <w:rPr>
          <w:b/>
          <w:bCs/>
        </w:rPr>
        <w:t>nue-based normalisation</w:t>
      </w:r>
      <w:r>
        <w:t xml:space="preserve"> and </w:t>
      </w:r>
      <w:r>
        <w:rPr>
          <w:b/>
          <w:bCs/>
        </w:rPr>
        <w:t>fixed scoring benchmark bands</w:t>
      </w:r>
      <w:r>
        <w:t>, so companies are judged on absolute, size-independent merit.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Excessive 404s</w:t>
      </w:r>
      <w:r>
        <w:t xml:space="preserve"> during signal gathering → expected "page not found" noise, trimmed and quieted.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429 rate-limit errors</w:t>
      </w:r>
      <w:r>
        <w:t xml:space="preserve"> → traced to </w:t>
      </w:r>
      <w:r>
        <w:rPr>
          <w:b/>
          <w:bCs/>
        </w:rPr>
        <w:t>GDELT</w:t>
      </w:r>
      <w:r>
        <w:t xml:space="preserve"> (</w:t>
      </w:r>
      <w:r>
        <w:t xml:space="preserve">and a defunct Reuters feed); both </w:t>
      </w:r>
      <w:r>
        <w:rPr>
          <w:b/>
          <w:bCs/>
        </w:rPr>
        <w:t>removed</w:t>
      </w:r>
      <w:r>
        <w:t xml:space="preserve"> from the sources.</w:t>
      </w:r>
    </w:p>
    <w:p w:rsidR="00833BE0" w:rsidRDefault="006F2379">
      <w:pPr>
        <w:pStyle w:val="ListParagraph"/>
        <w:numPr>
          <w:ilvl w:val="0"/>
          <w:numId w:val="2"/>
        </w:numPr>
        <w:spacing w:after="100"/>
      </w:pPr>
      <w:r>
        <w:lastRenderedPageBreak/>
        <w:t>Smaller fixes: signal caching (fewer external calls), keeping the API responsive during estimation, and DB connection stability.</w:t>
      </w:r>
    </w:p>
    <w:p w:rsidR="00833BE0" w:rsidRDefault="006F2379">
      <w:pPr>
        <w:spacing w:after="200"/>
      </w:pPr>
      <w:r>
        <w:t xml:space="preserve"> </w:t>
      </w:r>
    </w:p>
    <w:p w:rsidR="00833BE0" w:rsidRDefault="00833BE0">
      <w:pPr>
        <w:pBdr>
          <w:bottom w:val="single" w:sz="6" w:space="1" w:color="auto"/>
        </w:pBdr>
        <w:spacing w:after="120"/>
      </w:pP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pStyle w:val="Heading2"/>
        <w:spacing w:after="200"/>
      </w:pPr>
      <w:r>
        <w:t>Next Steps</w:t>
      </w:r>
    </w:p>
    <w:p w:rsidR="00D20784" w:rsidRDefault="006F2379" w:rsidP="00D20784">
      <w:pPr>
        <w:pStyle w:val="ListParagraph"/>
        <w:numPr>
          <w:ilvl w:val="0"/>
          <w:numId w:val="3"/>
        </w:numPr>
        <w:spacing w:after="120"/>
      </w:pPr>
      <w:r>
        <w:t>Improve estimate accuracy (values currently skew op</w:t>
      </w:r>
      <w:r w:rsidR="00D20784">
        <w:t>timistic)</w:t>
      </w:r>
    </w:p>
    <w:p w:rsidR="00833BE0" w:rsidRDefault="00D20784" w:rsidP="00D20784">
      <w:pPr>
        <w:pStyle w:val="ListParagraph"/>
        <w:numPr>
          <w:ilvl w:val="0"/>
          <w:numId w:val="3"/>
        </w:numPr>
        <w:spacing w:after="120"/>
      </w:pPr>
      <w:r>
        <w:t>A</w:t>
      </w:r>
      <w:r w:rsidR="006F2379">
        <w:t>dd sector-specific metrics/bands for market-specific tables.</w:t>
      </w:r>
    </w:p>
    <w:p w:rsidR="00833BE0" w:rsidRDefault="006F2379">
      <w:pPr>
        <w:spacing w:after="200"/>
      </w:pPr>
      <w:r>
        <w:t xml:space="preserve"> </w:t>
      </w:r>
    </w:p>
    <w:p w:rsidR="00833BE0" w:rsidRDefault="006F2379">
      <w:pPr>
        <w:spacing w:after="120"/>
      </w:pPr>
      <w:r>
        <w:rPr>
          <w:i/>
          <w:iCs/>
        </w:rPr>
        <w:t>**</w:t>
      </w:r>
      <w:r>
        <w:rPr>
          <w:i/>
          <w:iCs/>
        </w:rPr>
        <w:t>All data (company dataset, tested companies, metric definitions and values etc.) are p</w:t>
      </w:r>
      <w:r>
        <w:rPr>
          <w:i/>
          <w:iCs/>
        </w:rPr>
        <w:t xml:space="preserve">resent in the </w:t>
      </w:r>
      <w:proofErr w:type="spellStart"/>
      <w:r>
        <w:rPr>
          <w:i/>
          <w:iCs/>
        </w:rPr>
        <w:t>NeonDB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database.*</w:t>
      </w:r>
      <w:proofErr w:type="gramEnd"/>
      <w:r>
        <w:rPr>
          <w:i/>
          <w:iCs/>
        </w:rPr>
        <w:t>*</w:t>
      </w:r>
    </w:p>
    <w:sectPr w:rsidR="00833B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F055C"/>
    <w:multiLevelType w:val="hybridMultilevel"/>
    <w:tmpl w:val="90AA2E0E"/>
    <w:lvl w:ilvl="0" w:tplc="1F869DE4">
      <w:start w:val="1"/>
      <w:numFmt w:val="bullet"/>
      <w:lvlText w:val="●"/>
      <w:lvlJc w:val="left"/>
      <w:pPr>
        <w:ind w:left="720" w:hanging="360"/>
      </w:pPr>
    </w:lvl>
    <w:lvl w:ilvl="1" w:tplc="E076C6EC">
      <w:start w:val="1"/>
      <w:numFmt w:val="bullet"/>
      <w:lvlText w:val="○"/>
      <w:lvlJc w:val="left"/>
      <w:pPr>
        <w:ind w:left="1440" w:hanging="360"/>
      </w:pPr>
    </w:lvl>
    <w:lvl w:ilvl="2" w:tplc="E2C2E70A">
      <w:start w:val="1"/>
      <w:numFmt w:val="bullet"/>
      <w:lvlText w:val="■"/>
      <w:lvlJc w:val="left"/>
      <w:pPr>
        <w:ind w:left="2160" w:hanging="360"/>
      </w:pPr>
    </w:lvl>
    <w:lvl w:ilvl="3" w:tplc="E878E31A">
      <w:start w:val="1"/>
      <w:numFmt w:val="bullet"/>
      <w:lvlText w:val="●"/>
      <w:lvlJc w:val="left"/>
      <w:pPr>
        <w:ind w:left="2880" w:hanging="360"/>
      </w:pPr>
    </w:lvl>
    <w:lvl w:ilvl="4" w:tplc="115A1044">
      <w:start w:val="1"/>
      <w:numFmt w:val="bullet"/>
      <w:lvlText w:val="○"/>
      <w:lvlJc w:val="left"/>
      <w:pPr>
        <w:ind w:left="3600" w:hanging="360"/>
      </w:pPr>
    </w:lvl>
    <w:lvl w:ilvl="5" w:tplc="54F0F342">
      <w:start w:val="1"/>
      <w:numFmt w:val="bullet"/>
      <w:lvlText w:val="■"/>
      <w:lvlJc w:val="left"/>
      <w:pPr>
        <w:ind w:left="4320" w:hanging="360"/>
      </w:pPr>
    </w:lvl>
    <w:lvl w:ilvl="6" w:tplc="DB0AA998">
      <w:start w:val="1"/>
      <w:numFmt w:val="bullet"/>
      <w:lvlText w:val="●"/>
      <w:lvlJc w:val="left"/>
      <w:pPr>
        <w:ind w:left="5040" w:hanging="360"/>
      </w:pPr>
    </w:lvl>
    <w:lvl w:ilvl="7" w:tplc="BED6BBBA">
      <w:start w:val="1"/>
      <w:numFmt w:val="bullet"/>
      <w:lvlText w:val="●"/>
      <w:lvlJc w:val="left"/>
      <w:pPr>
        <w:ind w:left="5760" w:hanging="360"/>
      </w:pPr>
    </w:lvl>
    <w:lvl w:ilvl="8" w:tplc="4A0E5B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E8259D"/>
    <w:multiLevelType w:val="hybridMultilevel"/>
    <w:tmpl w:val="5C96836C"/>
    <w:lvl w:ilvl="0" w:tplc="48741E3C">
      <w:start w:val="1"/>
      <w:numFmt w:val="bullet"/>
      <w:suff w:val="space"/>
      <w:lvlText w:val="●"/>
      <w:lvlJc w:val="left"/>
      <w:pPr>
        <w:ind w:left="240" w:hanging="180"/>
      </w:pPr>
    </w:lvl>
    <w:lvl w:ilvl="1" w:tplc="2392F9E8">
      <w:start w:val="1"/>
      <w:numFmt w:val="bullet"/>
      <w:suff w:val="space"/>
      <w:lvlText w:val="○"/>
      <w:lvlJc w:val="left"/>
      <w:pPr>
        <w:ind w:left="660" w:hanging="180"/>
      </w:pPr>
    </w:lvl>
    <w:lvl w:ilvl="2" w:tplc="E9D2B00A">
      <w:start w:val="1"/>
      <w:numFmt w:val="bullet"/>
      <w:suff w:val="space"/>
      <w:lvlText w:val="■"/>
      <w:lvlJc w:val="left"/>
      <w:pPr>
        <w:ind w:left="1080" w:hanging="180"/>
      </w:pPr>
    </w:lvl>
    <w:lvl w:ilvl="3" w:tplc="041E6EEC">
      <w:start w:val="1"/>
      <w:numFmt w:val="bullet"/>
      <w:suff w:val="space"/>
      <w:lvlText w:val="●"/>
      <w:lvlJc w:val="left"/>
      <w:pPr>
        <w:ind w:left="1500" w:hanging="180"/>
      </w:pPr>
    </w:lvl>
    <w:lvl w:ilvl="4" w:tplc="C678A350">
      <w:start w:val="1"/>
      <w:numFmt w:val="bullet"/>
      <w:suff w:val="space"/>
      <w:lvlText w:val="○"/>
      <w:lvlJc w:val="left"/>
      <w:pPr>
        <w:ind w:left="1920" w:hanging="180"/>
      </w:pPr>
    </w:lvl>
    <w:lvl w:ilvl="5" w:tplc="E0780D16">
      <w:start w:val="1"/>
      <w:numFmt w:val="bullet"/>
      <w:suff w:val="space"/>
      <w:lvlText w:val="■"/>
      <w:lvlJc w:val="left"/>
      <w:pPr>
        <w:ind w:left="2340" w:hanging="180"/>
      </w:pPr>
    </w:lvl>
    <w:lvl w:ilvl="6" w:tplc="4B9645AC">
      <w:start w:val="1"/>
      <w:numFmt w:val="bullet"/>
      <w:suff w:val="space"/>
      <w:lvlText w:val="●"/>
      <w:lvlJc w:val="left"/>
      <w:pPr>
        <w:ind w:left="2760" w:hanging="180"/>
      </w:pPr>
    </w:lvl>
    <w:lvl w:ilvl="7" w:tplc="4ED22B0E">
      <w:start w:val="1"/>
      <w:numFmt w:val="bullet"/>
      <w:suff w:val="space"/>
      <w:lvlText w:val="○"/>
      <w:lvlJc w:val="left"/>
      <w:pPr>
        <w:ind w:left="3180" w:hanging="180"/>
      </w:pPr>
    </w:lvl>
    <w:lvl w:ilvl="8" w:tplc="FC28319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7EBE1523"/>
    <w:multiLevelType w:val="hybridMultilevel"/>
    <w:tmpl w:val="0DBEA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BE0"/>
    <w:rsid w:val="000602D4"/>
    <w:rsid w:val="000F3BDE"/>
    <w:rsid w:val="003652D8"/>
    <w:rsid w:val="00394FA5"/>
    <w:rsid w:val="006F2379"/>
    <w:rsid w:val="00833BE0"/>
    <w:rsid w:val="00A8214B"/>
    <w:rsid w:val="00D20784"/>
    <w:rsid w:val="00E2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9E15"/>
  <w15:docId w15:val="{1F5E9C20-FCFE-4719-9CBA-3F1629B5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Rupen Kumar</cp:lastModifiedBy>
  <cp:revision>9</cp:revision>
  <dcterms:created xsi:type="dcterms:W3CDTF">2026-07-03T12:27:00Z</dcterms:created>
  <dcterms:modified xsi:type="dcterms:W3CDTF">2026-07-03T12:29:00Z</dcterms:modified>
</cp:coreProperties>
</file>