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Lighthouse Coffee — Expansion Plan</w:t>
      </w:r>
    </w:p>
    <w:p>
      <w:pPr>
        <w:pStyle w:val="Heading1"/>
      </w:pPr>
      <w:r>
        <w:t>Where we are</w:t>
      </w:r>
    </w:p>
    <w:p>
      <w:r>
        <w:t>Lighthouse Coffee roasts small-batch beans and sells through 4 stores in Pune. In FY2025 revenue reached ₹18.6 crore, up 27% on FY2024, with a gross margin of 61%.</w:t>
      </w:r>
    </w:p>
    <w:p>
      <w:pPr>
        <w:pStyle w:val="ListBullet"/>
      </w:pPr>
      <w:r>
        <w:t>Online subscriptions grew to 3,400 active members; the average member spends ₹1,150 a month.</w:t>
      </w:r>
    </w:p>
    <w:p>
      <w:pPr>
        <w:pStyle w:val="ListBullet"/>
      </w:pPr>
      <w:r>
        <w:t>Wholesale to 22 offices contributes 14% of revenue.</w:t>
      </w:r>
    </w:p>
    <w:p>
      <w:pPr>
        <w:pStyle w:val="Heading1"/>
      </w:pPr>
      <w:r>
        <w:t>The plan</w:t>
      </w:r>
    </w:p>
    <w:p>
      <w:r>
        <w:t>We propose opening 3 new stores in Mumbai during FY2026, funded by a ₹4.5 crore raise.</w:t>
      </w:r>
    </w:p>
    <w:p>
      <w:pPr>
        <w:pStyle w:val="ListNumber"/>
      </w:pPr>
      <w:r>
        <w:t>Sign leases in Bandra, Powai and Lower Parel by June</w:t>
      </w:r>
    </w:p>
    <w:p>
      <w:pPr>
        <w:pStyle w:val="ListNumber"/>
      </w:pPr>
      <w:r>
        <w:t>Hire and train 18 baristas by August</w:t>
      </w:r>
    </w:p>
    <w:p>
      <w:pPr>
        <w:pStyle w:val="ListNumber"/>
      </w:pPr>
      <w:r>
        <w:t>Open all three stores by October</w:t>
      </w:r>
    </w:p>
    <w:p>
      <w:pPr>
        <w:pStyle w:val="Heading2"/>
      </w:pPr>
      <w:r>
        <w:t>Financial outlook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Revenue (₹ crore)</w:t>
            </w:r>
          </w:p>
        </w:tc>
        <w:tc>
          <w:tcPr>
            <w:tcW w:type="dxa" w:w="2880"/>
          </w:tcPr>
          <w:p>
            <w:r>
              <w:t>Stores</w:t>
            </w:r>
          </w:p>
        </w:tc>
      </w:tr>
      <w:tr>
        <w:tc>
          <w:tcPr>
            <w:tcW w:type="dxa" w:w="2880"/>
          </w:tcPr>
          <w:p>
            <w:r>
              <w:t>FY2024</w:t>
            </w:r>
          </w:p>
        </w:tc>
        <w:tc>
          <w:tcPr>
            <w:tcW w:type="dxa" w:w="2880"/>
          </w:tcPr>
          <w:p>
            <w:r>
              <w:t>14.6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FY2025</w:t>
            </w:r>
          </w:p>
        </w:tc>
        <w:tc>
          <w:tcPr>
            <w:tcW w:type="dxa" w:w="2880"/>
          </w:tcPr>
          <w:p>
            <w:r>
              <w:t>18.6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FY2026 (plan)</w:t>
            </w:r>
          </w:p>
        </w:tc>
        <w:tc>
          <w:tcPr>
            <w:tcW w:type="dxa" w:w="2880"/>
          </w:tcPr>
          <w:p>
            <w:r>
              <w:t>27.9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pPr>
        <w:pStyle w:val="Heading1"/>
      </w:pPr>
      <w:r>
        <w:t>Risks</w:t>
      </w:r>
    </w:p>
    <w:p>
      <w:r>
        <w:t>Green coffee prices rose 12% last year; we hedge 60% of annual volume.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Lighthouse Coffee — Expansion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