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第1条 图片条款</w:t>
      </w:r>
    </w:p>
    <w:tbl>
      <w:tblGrid>
        <w:gridCol w:w="2500"/>
        <w:gridCol w:w="2500"/>
      </w:tblGrid>
      <w:tr>
        <w:tc>
          <w:p>
            <w:r>
              <w:t>项目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带宽图像</w:t>
            </w:r>
          </w:p>
        </w:tc>
        <w:tc>
          <w:p>
            <w:r>
              <w:t>图片起始</w:t>
            </w:r>
            <w:r>
              <w:drawing>
                <wp:inline>
                  <wp:extent cx="5715000" cy="1371600"/>
                  <wp:docPr id="1" name="Synthetic bandwidth image"/>
                  <a:graphic>
                    <a:graphicData uri="http://schemas.openxmlformats.org/drawingml/2006/picture">
                      <pic:pic>
                        <pic:nvPicPr>
                          <pic:cNvPr id="1" name="Synthetic contract image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图片结束</w:t>
            </w:r>
          </w:p>
        </w:tc>
      </w:tr>
    </w:tbl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bandwidth.png"/></Relationships>
</file>