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1CF5" w14:textId="0C4AEDB8" w:rsidR="00E56C64" w:rsidRPr="00F00E0D" w:rsidRDefault="00DE1017" w:rsidP="00DE1017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F00E0D">
        <w:rPr>
          <w:rFonts w:cstheme="minorHAnsi"/>
          <w:b/>
          <w:bCs/>
          <w:i/>
          <w:iCs/>
          <w:sz w:val="36"/>
          <w:szCs w:val="36"/>
          <w:u w:val="single"/>
        </w:rPr>
        <w:t>ShopNest</w:t>
      </w:r>
      <w:proofErr w:type="spellEnd"/>
      <w:r w:rsidRPr="00F00E0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Capstone Report</w:t>
      </w:r>
    </w:p>
    <w:p w14:paraId="318E640B" w14:textId="3EA0B650" w:rsidR="00DE1017" w:rsidRPr="006644F1" w:rsidRDefault="00DE1017" w:rsidP="00DE1017">
      <w:pPr>
        <w:jc w:val="center"/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0D78D1CE" w14:textId="4BB6C782" w:rsidR="00DE1017" w:rsidRPr="00F00E0D" w:rsidRDefault="00DE1017" w:rsidP="00DE101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F00E0D">
        <w:rPr>
          <w:rFonts w:cstheme="minorHAnsi"/>
          <w:b/>
          <w:bCs/>
          <w:sz w:val="24"/>
          <w:szCs w:val="24"/>
          <w:u w:val="single"/>
        </w:rPr>
        <w:t>Top Categories by Total Price</w:t>
      </w:r>
    </w:p>
    <w:p w14:paraId="3E10A1DD" w14:textId="0CB0CCE3" w:rsidR="00DE1017" w:rsidRPr="00F00E0D" w:rsidRDefault="00DE1017" w:rsidP="00DE1017">
      <w:pPr>
        <w:ind w:left="360"/>
        <w:rPr>
          <w:rFonts w:cstheme="minorHAnsi"/>
          <w:sz w:val="24"/>
          <w:szCs w:val="24"/>
          <w:u w:val="single"/>
        </w:rPr>
      </w:pPr>
      <w:r w:rsidRPr="00F00E0D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3EFA760E" wp14:editId="298FCCCE">
            <wp:extent cx="2902099" cy="2019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CFF7" w14:textId="789120C8" w:rsidR="00DE1017" w:rsidRPr="00F00E0D" w:rsidRDefault="00DE1017" w:rsidP="00DE1017">
      <w:pPr>
        <w:ind w:left="360"/>
        <w:rPr>
          <w:rFonts w:cstheme="minorHAnsi"/>
          <w:sz w:val="24"/>
          <w:szCs w:val="24"/>
          <w:u w:val="single"/>
        </w:rPr>
      </w:pPr>
    </w:p>
    <w:p w14:paraId="33A02FD7" w14:textId="77777777" w:rsidR="00DE1017" w:rsidRPr="00F00E0D" w:rsidRDefault="00DE1017" w:rsidP="00DE1017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F00E0D">
        <w:rPr>
          <w:rFonts w:cstheme="minorHAnsi"/>
          <w:b/>
          <w:bCs/>
          <w:sz w:val="24"/>
          <w:szCs w:val="24"/>
          <w:u w:val="single"/>
        </w:rPr>
        <w:t>Visualization Summary:</w:t>
      </w:r>
    </w:p>
    <w:p w14:paraId="6D7710D9" w14:textId="77777777" w:rsidR="00DE1017" w:rsidRPr="00F00E0D" w:rsidRDefault="00DE1017" w:rsidP="00DE1017">
      <w:pPr>
        <w:pStyle w:val="ListParagraph"/>
        <w:rPr>
          <w:rFonts w:cstheme="minorHAnsi"/>
          <w:sz w:val="24"/>
          <w:szCs w:val="24"/>
        </w:rPr>
      </w:pPr>
    </w:p>
    <w:p w14:paraId="72A39D47" w14:textId="4D5C6AB9" w:rsidR="00DE1017" w:rsidRPr="00F00E0D" w:rsidRDefault="00DE1017" w:rsidP="00DE1017">
      <w:pPr>
        <w:pStyle w:val="ListParagraph"/>
        <w:rPr>
          <w:rFonts w:cstheme="minorHAnsi"/>
          <w:b/>
          <w:bCs/>
          <w:sz w:val="24"/>
          <w:szCs w:val="24"/>
        </w:rPr>
      </w:pPr>
      <w:r w:rsidRPr="00F00E0D">
        <w:rPr>
          <w:rFonts w:cstheme="minorHAnsi"/>
          <w:sz w:val="24"/>
          <w:szCs w:val="24"/>
        </w:rPr>
        <w:t>The horizontal bar chart displays the top 10 product categories based on total sales in descending order. The x-axis represents the Sum of Total Sales (in millions), and the y-axis lists the product categories.</w:t>
      </w:r>
    </w:p>
    <w:p w14:paraId="3250D43D" w14:textId="61EAF9D5" w:rsidR="00DE1017" w:rsidRPr="00F00E0D" w:rsidRDefault="00DE1017" w:rsidP="00DE1017">
      <w:pPr>
        <w:ind w:left="360"/>
        <w:rPr>
          <w:rFonts w:cstheme="minorHAnsi"/>
          <w:sz w:val="24"/>
          <w:szCs w:val="24"/>
        </w:rPr>
      </w:pPr>
    </w:p>
    <w:p w14:paraId="2D76F71C" w14:textId="77777777" w:rsidR="00DE1017" w:rsidRPr="00F00E0D" w:rsidRDefault="00DE1017" w:rsidP="00DE1017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F00E0D">
        <w:rPr>
          <w:rFonts w:cstheme="minorHAnsi"/>
          <w:b/>
          <w:bCs/>
          <w:sz w:val="24"/>
          <w:szCs w:val="24"/>
          <w:u w:val="single"/>
        </w:rPr>
        <w:t>Key Insights:</w:t>
      </w:r>
    </w:p>
    <w:p w14:paraId="54FE2C91" w14:textId="77777777" w:rsidR="00DE1017" w:rsidRPr="00F00E0D" w:rsidRDefault="00DE1017" w:rsidP="00DE1017">
      <w:pPr>
        <w:pStyle w:val="ListParagraph"/>
        <w:rPr>
          <w:rFonts w:cstheme="minorHAnsi"/>
          <w:sz w:val="24"/>
          <w:szCs w:val="24"/>
        </w:rPr>
      </w:pPr>
    </w:p>
    <w:p w14:paraId="4FAB9D38" w14:textId="30C1D8D3" w:rsidR="000A3D09" w:rsidRPr="00F00E0D" w:rsidRDefault="00DE1017" w:rsidP="000A3D0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F00E0D">
        <w:rPr>
          <w:rFonts w:cstheme="minorHAnsi"/>
          <w:sz w:val="24"/>
          <w:szCs w:val="24"/>
        </w:rPr>
        <w:t>Healt</w:t>
      </w:r>
      <w:r w:rsidR="000A3D09" w:rsidRPr="00F00E0D">
        <w:rPr>
          <w:rFonts w:cstheme="minorHAnsi"/>
          <w:sz w:val="24"/>
          <w:szCs w:val="24"/>
        </w:rPr>
        <w:t>h_</w:t>
      </w:r>
      <w:r w:rsidRPr="00F00E0D">
        <w:rPr>
          <w:rFonts w:cstheme="minorHAnsi"/>
          <w:sz w:val="24"/>
          <w:szCs w:val="24"/>
        </w:rPr>
        <w:t>beauty</w:t>
      </w:r>
      <w:proofErr w:type="spellEnd"/>
      <w:r w:rsidRPr="00F00E0D">
        <w:rPr>
          <w:rFonts w:cstheme="minorHAnsi"/>
          <w:sz w:val="24"/>
          <w:szCs w:val="24"/>
        </w:rPr>
        <w:t xml:space="preserve"> is the top-selling category, surpassing 1.44 million in total sales. This suggests a strong consumer preference or demand for wellness and personal care products.</w:t>
      </w:r>
    </w:p>
    <w:p w14:paraId="2D82A291" w14:textId="1EC23A78" w:rsidR="000A3D09" w:rsidRPr="00F00E0D" w:rsidRDefault="00DE1017" w:rsidP="000A3D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0E0D">
        <w:rPr>
          <w:rFonts w:cstheme="minorHAnsi"/>
          <w:sz w:val="24"/>
          <w:szCs w:val="24"/>
        </w:rPr>
        <w:t xml:space="preserve">Categories like </w:t>
      </w:r>
      <w:proofErr w:type="spellStart"/>
      <w:r w:rsidRPr="00F00E0D">
        <w:rPr>
          <w:rFonts w:cstheme="minorHAnsi"/>
          <w:sz w:val="24"/>
          <w:szCs w:val="24"/>
        </w:rPr>
        <w:t>watches_gifts</w:t>
      </w:r>
      <w:proofErr w:type="spellEnd"/>
      <w:r w:rsidRPr="00F00E0D">
        <w:rPr>
          <w:rFonts w:cstheme="minorHAnsi"/>
          <w:sz w:val="24"/>
          <w:szCs w:val="24"/>
        </w:rPr>
        <w:t xml:space="preserve">, </w:t>
      </w:r>
      <w:proofErr w:type="spellStart"/>
      <w:r w:rsidRPr="00F00E0D">
        <w:rPr>
          <w:rFonts w:cstheme="minorHAnsi"/>
          <w:sz w:val="24"/>
          <w:szCs w:val="24"/>
        </w:rPr>
        <w:t>bed_bath_table</w:t>
      </w:r>
      <w:proofErr w:type="spellEnd"/>
      <w:r w:rsidRPr="00F00E0D">
        <w:rPr>
          <w:rFonts w:cstheme="minorHAnsi"/>
          <w:sz w:val="24"/>
          <w:szCs w:val="24"/>
        </w:rPr>
        <w:t xml:space="preserve">, and </w:t>
      </w:r>
      <w:proofErr w:type="spellStart"/>
      <w:r w:rsidRPr="00F00E0D">
        <w:rPr>
          <w:rFonts w:cstheme="minorHAnsi"/>
          <w:sz w:val="24"/>
          <w:szCs w:val="24"/>
        </w:rPr>
        <w:t>sports_leisure</w:t>
      </w:r>
      <w:proofErr w:type="spellEnd"/>
      <w:r w:rsidRPr="00F00E0D">
        <w:rPr>
          <w:rFonts w:cstheme="minorHAnsi"/>
          <w:sz w:val="24"/>
          <w:szCs w:val="24"/>
        </w:rPr>
        <w:t xml:space="preserve"> also perform exceptionally well, crossing the 1 million </w:t>
      </w:r>
      <w:proofErr w:type="gramStart"/>
      <w:r w:rsidRPr="00F00E0D">
        <w:rPr>
          <w:rFonts w:cstheme="minorHAnsi"/>
          <w:sz w:val="24"/>
          <w:szCs w:val="24"/>
        </w:rPr>
        <w:t>mark</w:t>
      </w:r>
      <w:proofErr w:type="gramEnd"/>
      <w:r w:rsidRPr="00F00E0D">
        <w:rPr>
          <w:rFonts w:cstheme="minorHAnsi"/>
          <w:sz w:val="24"/>
          <w:szCs w:val="24"/>
        </w:rPr>
        <w:t>, indicating these are highly sought-after and possibly gift</w:t>
      </w:r>
      <w:r w:rsidR="000A3D09" w:rsidRPr="00F00E0D">
        <w:rPr>
          <w:rFonts w:cstheme="minorHAnsi"/>
          <w:sz w:val="24"/>
          <w:szCs w:val="24"/>
        </w:rPr>
        <w:t>-</w:t>
      </w:r>
      <w:r w:rsidRPr="00F00E0D">
        <w:rPr>
          <w:rFonts w:cstheme="minorHAnsi"/>
          <w:sz w:val="24"/>
          <w:szCs w:val="24"/>
        </w:rPr>
        <w:t>oriented or lifestyle-enhancing.</w:t>
      </w:r>
    </w:p>
    <w:p w14:paraId="4C16CEBB" w14:textId="77777777" w:rsidR="00DE1017" w:rsidRPr="00F00E0D" w:rsidRDefault="00DE1017" w:rsidP="00DE10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F00E0D">
        <w:rPr>
          <w:rFonts w:cstheme="minorHAnsi"/>
          <w:sz w:val="24"/>
          <w:szCs w:val="24"/>
        </w:rPr>
        <w:t>computers_accessories</w:t>
      </w:r>
      <w:proofErr w:type="spellEnd"/>
      <w:r w:rsidRPr="00F00E0D">
        <w:rPr>
          <w:rFonts w:cstheme="minorHAnsi"/>
          <w:sz w:val="24"/>
          <w:szCs w:val="24"/>
        </w:rPr>
        <w:t xml:space="preserve"> and </w:t>
      </w:r>
      <w:proofErr w:type="spellStart"/>
      <w:r w:rsidRPr="00F00E0D">
        <w:rPr>
          <w:rFonts w:cstheme="minorHAnsi"/>
          <w:sz w:val="24"/>
          <w:szCs w:val="24"/>
        </w:rPr>
        <w:t>furniture_decor</w:t>
      </w:r>
      <w:proofErr w:type="spellEnd"/>
      <w:r w:rsidRPr="00F00E0D">
        <w:rPr>
          <w:rFonts w:cstheme="minorHAnsi"/>
          <w:sz w:val="24"/>
          <w:szCs w:val="24"/>
        </w:rPr>
        <w:t xml:space="preserve"> signal steady demand in both tech and home improvement sectors.</w:t>
      </w:r>
    </w:p>
    <w:p w14:paraId="471FC954" w14:textId="1C49C545" w:rsidR="00DE1017" w:rsidRPr="006644F1" w:rsidRDefault="00DE1017" w:rsidP="00DE101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F00E0D">
        <w:rPr>
          <w:rFonts w:cstheme="minorHAnsi"/>
          <w:sz w:val="24"/>
          <w:szCs w:val="24"/>
        </w:rPr>
        <w:t xml:space="preserve">Lower on the list but still in the top 10, auto and </w:t>
      </w:r>
      <w:proofErr w:type="spellStart"/>
      <w:r w:rsidRPr="00F00E0D">
        <w:rPr>
          <w:rFonts w:cstheme="minorHAnsi"/>
          <w:sz w:val="24"/>
          <w:szCs w:val="24"/>
        </w:rPr>
        <w:t>garden_tools</w:t>
      </w:r>
      <w:proofErr w:type="spellEnd"/>
      <w:r w:rsidRPr="00F00E0D">
        <w:rPr>
          <w:rFonts w:cstheme="minorHAnsi"/>
          <w:sz w:val="24"/>
          <w:szCs w:val="24"/>
        </w:rPr>
        <w:t xml:space="preserve"> show niche but significant contributions to overall sales, suggesting potential for further exploration or seasonal promotions</w:t>
      </w:r>
      <w:r w:rsidRPr="006644F1">
        <w:rPr>
          <w:rFonts w:ascii="Book Antiqua" w:hAnsi="Book Antiqua"/>
        </w:rPr>
        <w:t>.</w:t>
      </w:r>
    </w:p>
    <w:p w14:paraId="552199F8" w14:textId="0C489C30" w:rsidR="000A3D09" w:rsidRPr="006644F1" w:rsidRDefault="000A3D09" w:rsidP="000A3D09">
      <w:pPr>
        <w:rPr>
          <w:rFonts w:ascii="Book Antiqua" w:hAnsi="Book Antiqua"/>
        </w:rPr>
      </w:pPr>
    </w:p>
    <w:p w14:paraId="589C835A" w14:textId="0767EA17" w:rsidR="000A3D09" w:rsidRPr="006644F1" w:rsidRDefault="000A3D09" w:rsidP="000A3D09">
      <w:pPr>
        <w:rPr>
          <w:rFonts w:ascii="Book Antiqua" w:hAnsi="Book Antiqua"/>
        </w:rPr>
      </w:pPr>
    </w:p>
    <w:p w14:paraId="388C3864" w14:textId="765C2B77" w:rsidR="000A3D09" w:rsidRPr="006644F1" w:rsidRDefault="000A3D09" w:rsidP="000A3D09">
      <w:pPr>
        <w:rPr>
          <w:rFonts w:ascii="Book Antiqua" w:hAnsi="Book Antiqua"/>
        </w:rPr>
      </w:pPr>
    </w:p>
    <w:p w14:paraId="48FC7DF3" w14:textId="1978A7B9" w:rsidR="000A3D09" w:rsidRPr="006644F1" w:rsidRDefault="000A3D09" w:rsidP="000A3D09">
      <w:pPr>
        <w:rPr>
          <w:rFonts w:ascii="Book Antiqua" w:hAnsi="Book Antiqua"/>
        </w:rPr>
      </w:pPr>
    </w:p>
    <w:p w14:paraId="44C732E2" w14:textId="77777777" w:rsidR="000A3D09" w:rsidRPr="006644F1" w:rsidRDefault="000A3D09" w:rsidP="000A3D09">
      <w:pPr>
        <w:rPr>
          <w:rFonts w:ascii="Book Antiqua" w:hAnsi="Book Antiqua"/>
        </w:rPr>
      </w:pPr>
    </w:p>
    <w:p w14:paraId="14E8A56D" w14:textId="3729945C" w:rsidR="000A3D09" w:rsidRPr="00F00E0D" w:rsidRDefault="000A3D09" w:rsidP="000A3D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t>Delayed Order Analysis</w:t>
      </w:r>
    </w:p>
    <w:p w14:paraId="512D57FA" w14:textId="5394E165" w:rsidR="000A3D09" w:rsidRPr="00F00E0D" w:rsidRDefault="000A3D09" w:rsidP="000A3D09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1197B5CA" w14:textId="1C6F3696" w:rsidR="000A3D09" w:rsidRPr="00F00E0D" w:rsidRDefault="000A3D09" w:rsidP="000A3D09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 w:rsidRPr="00F00E0D"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718DD076" wp14:editId="0130F11D">
            <wp:extent cx="3873500" cy="239868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395" cy="24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B525" w14:textId="77777777" w:rsidR="000A3D09" w:rsidRPr="00F00E0D" w:rsidRDefault="000A3D09" w:rsidP="000A3D09">
      <w:pPr>
        <w:pStyle w:val="ListParagraph"/>
        <w:rPr>
          <w:rFonts w:cstheme="minorHAnsi"/>
          <w:b/>
          <w:bCs/>
        </w:rPr>
      </w:pPr>
    </w:p>
    <w:p w14:paraId="1650B87B" w14:textId="604C3ADE" w:rsidR="000A3D09" w:rsidRPr="00F00E0D" w:rsidRDefault="000A3D09" w:rsidP="000A3D09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F00E0D">
        <w:rPr>
          <w:rFonts w:cstheme="minorHAnsi"/>
          <w:b/>
          <w:bCs/>
          <w:u w:val="single"/>
        </w:rPr>
        <w:t>Visualization Summary:</w:t>
      </w:r>
    </w:p>
    <w:p w14:paraId="677B470A" w14:textId="7F613627" w:rsidR="000A3D09" w:rsidRPr="00F00E0D" w:rsidRDefault="000A3D09" w:rsidP="000A3D09">
      <w:pPr>
        <w:pStyle w:val="ListParagraph"/>
        <w:rPr>
          <w:rFonts w:cstheme="minorHAnsi"/>
          <w:b/>
          <w:bCs/>
          <w:u w:val="single"/>
        </w:rPr>
      </w:pPr>
    </w:p>
    <w:p w14:paraId="4F67691B" w14:textId="735FA604" w:rsidR="000A3D09" w:rsidRPr="00F00E0D" w:rsidRDefault="000A3D09" w:rsidP="000A3D09">
      <w:pPr>
        <w:pStyle w:val="ListParagraph"/>
        <w:rPr>
          <w:rFonts w:cstheme="minorHAnsi"/>
        </w:rPr>
      </w:pPr>
      <w:r w:rsidRPr="00F00E0D">
        <w:rPr>
          <w:rFonts w:cstheme="minorHAnsi"/>
        </w:rPr>
        <w:t xml:space="preserve">This table provides insights into the total sales amount of </w:t>
      </w:r>
      <w:r w:rsidRPr="00F00E0D">
        <w:rPr>
          <w:rStyle w:val="Strong"/>
          <w:rFonts w:cstheme="minorHAnsi"/>
        </w:rPr>
        <w:t>delayed orders</w:t>
      </w:r>
      <w:r w:rsidRPr="00F00E0D">
        <w:rPr>
          <w:rFonts w:cstheme="minorHAnsi"/>
        </w:rPr>
        <w:t xml:space="preserve"> segmented by product category. Every listed order has the </w:t>
      </w:r>
      <w:proofErr w:type="spellStart"/>
      <w:r w:rsidRPr="00F00E0D">
        <w:rPr>
          <w:rStyle w:val="Strong"/>
          <w:rFonts w:cstheme="minorHAnsi"/>
        </w:rPr>
        <w:t>Delivery_Status</w:t>
      </w:r>
      <w:proofErr w:type="spellEnd"/>
      <w:r w:rsidRPr="00F00E0D">
        <w:rPr>
          <w:rFonts w:cstheme="minorHAnsi"/>
        </w:rPr>
        <w:t xml:space="preserve"> marked as "Delayed"</w:t>
      </w:r>
    </w:p>
    <w:p w14:paraId="3770E5A2" w14:textId="01264D33" w:rsidR="000A3D09" w:rsidRPr="00F00E0D" w:rsidRDefault="000A3D09" w:rsidP="000A3D09">
      <w:pPr>
        <w:pStyle w:val="ListParagraph"/>
        <w:rPr>
          <w:rFonts w:cstheme="minorHAnsi"/>
        </w:rPr>
      </w:pPr>
    </w:p>
    <w:p w14:paraId="16C88C69" w14:textId="53BF710D" w:rsidR="000A3D09" w:rsidRPr="00F00E0D" w:rsidRDefault="000A3D09" w:rsidP="000A3D09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F00E0D">
        <w:rPr>
          <w:rFonts w:cstheme="minorHAnsi"/>
          <w:b/>
          <w:bCs/>
          <w:u w:val="single"/>
        </w:rPr>
        <w:t>Key insights:</w:t>
      </w:r>
    </w:p>
    <w:p w14:paraId="5DEFC873" w14:textId="51E2F9D2" w:rsidR="00361431" w:rsidRPr="00F00E0D" w:rsidRDefault="00361431" w:rsidP="0036143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00E0D">
        <w:rPr>
          <w:rStyle w:val="Strong"/>
          <w:rFonts w:asciiTheme="minorHAnsi" w:hAnsiTheme="minorHAnsi" w:cstheme="minorHAnsi"/>
        </w:rPr>
        <w:t>High-impact Categories:</w:t>
      </w:r>
    </w:p>
    <w:p w14:paraId="52E9CDA6" w14:textId="3457F74A" w:rsidR="00361431" w:rsidRPr="00F00E0D" w:rsidRDefault="00361431" w:rsidP="00361431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ind w:left="993" w:hanging="142"/>
        <w:rPr>
          <w:rFonts w:asciiTheme="minorHAnsi" w:hAnsiTheme="minorHAnsi" w:cstheme="minorHAnsi"/>
        </w:rPr>
      </w:pPr>
      <w:proofErr w:type="spellStart"/>
      <w:r w:rsidRPr="00F00E0D">
        <w:rPr>
          <w:rStyle w:val="Strong"/>
          <w:rFonts w:asciiTheme="minorHAnsi" w:hAnsiTheme="minorHAnsi" w:cstheme="minorHAnsi"/>
        </w:rPr>
        <w:t>watches_gifts</w:t>
      </w:r>
      <w:proofErr w:type="spellEnd"/>
      <w:r w:rsidRPr="00F00E0D">
        <w:rPr>
          <w:rFonts w:asciiTheme="minorHAnsi" w:hAnsiTheme="minorHAnsi" w:cstheme="minorHAnsi"/>
        </w:rPr>
        <w:t xml:space="preserve"> alone </w:t>
      </w:r>
      <w:proofErr w:type="gramStart"/>
      <w:r w:rsidRPr="00F00E0D">
        <w:rPr>
          <w:rFonts w:asciiTheme="minorHAnsi" w:hAnsiTheme="minorHAnsi" w:cstheme="minorHAnsi"/>
        </w:rPr>
        <w:t>contributes</w:t>
      </w:r>
      <w:proofErr w:type="gramEnd"/>
      <w:r w:rsidRPr="00F00E0D">
        <w:rPr>
          <w:rFonts w:asciiTheme="minorHAnsi" w:hAnsiTheme="minorHAnsi" w:cstheme="minorHAnsi"/>
        </w:rPr>
        <w:t xml:space="preserve"> to over ₹1.13 lakh in delayed orders, indicating   serious </w:t>
      </w:r>
      <w:proofErr w:type="spellStart"/>
      <w:r w:rsidRPr="00F00E0D">
        <w:rPr>
          <w:rFonts w:asciiTheme="minorHAnsi" w:hAnsiTheme="minorHAnsi" w:cstheme="minorHAnsi"/>
        </w:rPr>
        <w:t>fulfillment</w:t>
      </w:r>
      <w:proofErr w:type="spellEnd"/>
      <w:r w:rsidRPr="00F00E0D">
        <w:rPr>
          <w:rFonts w:asciiTheme="minorHAnsi" w:hAnsiTheme="minorHAnsi" w:cstheme="minorHAnsi"/>
        </w:rPr>
        <w:t xml:space="preserve"> issues in a high-demand, high-value segment.</w:t>
      </w:r>
    </w:p>
    <w:p w14:paraId="6E834C64" w14:textId="5B608B11" w:rsidR="00361431" w:rsidRPr="00F00E0D" w:rsidRDefault="00361431" w:rsidP="00361431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left="993" w:hanging="142"/>
        <w:rPr>
          <w:rFonts w:asciiTheme="minorHAnsi" w:hAnsiTheme="minorHAnsi" w:cstheme="minorHAnsi"/>
        </w:rPr>
      </w:pPr>
      <w:proofErr w:type="spellStart"/>
      <w:r w:rsidRPr="00F00E0D">
        <w:rPr>
          <w:rStyle w:val="Strong"/>
          <w:rFonts w:asciiTheme="minorHAnsi" w:hAnsiTheme="minorHAnsi" w:cstheme="minorHAnsi"/>
        </w:rPr>
        <w:t>sports_leisure</w:t>
      </w:r>
      <w:proofErr w:type="spellEnd"/>
      <w:r w:rsidRPr="00F00E0D">
        <w:rPr>
          <w:rFonts w:asciiTheme="minorHAnsi" w:hAnsiTheme="minorHAnsi" w:cstheme="minorHAnsi"/>
        </w:rPr>
        <w:t xml:space="preserve"> and </w:t>
      </w:r>
      <w:r w:rsidRPr="00F00E0D">
        <w:rPr>
          <w:rStyle w:val="Strong"/>
          <w:rFonts w:asciiTheme="minorHAnsi" w:hAnsiTheme="minorHAnsi" w:cstheme="minorHAnsi"/>
        </w:rPr>
        <w:t>toys</w:t>
      </w:r>
      <w:r w:rsidRPr="00F00E0D">
        <w:rPr>
          <w:rFonts w:asciiTheme="minorHAnsi" w:hAnsiTheme="minorHAnsi" w:cstheme="minorHAnsi"/>
        </w:rPr>
        <w:t xml:space="preserve"> also show significant delays, potentially leading to customer dissatisfaction in time-sensitive gifting or recreational purchases.</w:t>
      </w:r>
    </w:p>
    <w:p w14:paraId="3E169888" w14:textId="629E0760" w:rsidR="00361431" w:rsidRPr="00F00E0D" w:rsidRDefault="00361431" w:rsidP="0036143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00E0D">
        <w:rPr>
          <w:rStyle w:val="Strong"/>
          <w:rFonts w:asciiTheme="minorHAnsi" w:hAnsiTheme="minorHAnsi" w:cstheme="minorHAnsi"/>
        </w:rPr>
        <w:t>Consistent Delay Across Segments:</w:t>
      </w:r>
    </w:p>
    <w:p w14:paraId="03E66B28" w14:textId="77777777" w:rsidR="00361431" w:rsidRPr="00F00E0D" w:rsidRDefault="00361431" w:rsidP="00361431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ind w:left="993" w:hanging="142"/>
        <w:rPr>
          <w:rStyle w:val="Strong"/>
          <w:rFonts w:asciiTheme="minorHAnsi" w:hAnsiTheme="minorHAnsi" w:cstheme="minorHAnsi"/>
          <w:b w:val="0"/>
          <w:bCs w:val="0"/>
        </w:rPr>
      </w:pPr>
      <w:r w:rsidRPr="00F00E0D">
        <w:rPr>
          <w:rStyle w:val="Strong"/>
          <w:rFonts w:asciiTheme="minorHAnsi" w:hAnsiTheme="minorHAnsi" w:cstheme="minorHAnsi"/>
          <w:b w:val="0"/>
          <w:bCs w:val="0"/>
        </w:rPr>
        <w:t>Delays are seen not just in tech or lifestyle products, but also in home appliances, pet supplies, and even stationery, suggesting a broader supply chain or logistics bottleneck.</w:t>
      </w:r>
    </w:p>
    <w:p w14:paraId="1D720289" w14:textId="197149DA" w:rsidR="000A3D09" w:rsidRPr="00F00E0D" w:rsidRDefault="00361431" w:rsidP="00361431">
      <w:pPr>
        <w:pStyle w:val="NormalWeb"/>
        <w:numPr>
          <w:ilvl w:val="0"/>
          <w:numId w:val="8"/>
        </w:numPr>
        <w:rPr>
          <w:rStyle w:val="Strong"/>
          <w:rFonts w:asciiTheme="minorHAnsi" w:hAnsiTheme="minorHAnsi" w:cstheme="minorHAnsi"/>
        </w:rPr>
      </w:pPr>
      <w:r w:rsidRPr="00F00E0D">
        <w:rPr>
          <w:rStyle w:val="Strong"/>
          <w:rFonts w:asciiTheme="minorHAnsi" w:hAnsiTheme="minorHAnsi" w:cstheme="minorHAnsi"/>
        </w:rPr>
        <w:t>Low-value Categories:</w:t>
      </w:r>
    </w:p>
    <w:p w14:paraId="2A2AEE9D" w14:textId="53DEC11C" w:rsidR="00361431" w:rsidRPr="00F00E0D" w:rsidRDefault="00677B99" w:rsidP="00361431">
      <w:pPr>
        <w:pStyle w:val="NormalWeb"/>
        <w:numPr>
          <w:ilvl w:val="0"/>
          <w:numId w:val="9"/>
        </w:numPr>
        <w:ind w:left="993" w:hanging="142"/>
        <w:rPr>
          <w:rFonts w:asciiTheme="minorHAnsi" w:hAnsiTheme="minorHAnsi" w:cstheme="minorHAnsi"/>
        </w:rPr>
      </w:pPr>
      <w:proofErr w:type="spellStart"/>
      <w:r w:rsidRPr="00F00E0D">
        <w:rPr>
          <w:rStyle w:val="Strong"/>
          <w:rFonts w:asciiTheme="minorHAnsi" w:hAnsiTheme="minorHAnsi" w:cstheme="minorHAnsi"/>
          <w:b w:val="0"/>
          <w:bCs w:val="0"/>
        </w:rPr>
        <w:t>T</w:t>
      </w:r>
      <w:r w:rsidR="00361431" w:rsidRPr="00F00E0D">
        <w:rPr>
          <w:rStyle w:val="Strong"/>
          <w:rFonts w:asciiTheme="minorHAnsi" w:hAnsiTheme="minorHAnsi" w:cstheme="minorHAnsi"/>
          <w:b w:val="0"/>
          <w:bCs w:val="0"/>
        </w:rPr>
        <w:t>ablets_printing_image</w:t>
      </w:r>
      <w:proofErr w:type="spellEnd"/>
      <w:r w:rsidR="00361431" w:rsidRPr="00F00E0D">
        <w:rPr>
          <w:rFonts w:asciiTheme="minorHAnsi" w:hAnsiTheme="minorHAnsi" w:cstheme="minorHAnsi"/>
          <w:b/>
          <w:bCs/>
        </w:rPr>
        <w:t xml:space="preserve"> </w:t>
      </w:r>
      <w:r w:rsidR="00361431" w:rsidRPr="00F00E0D">
        <w:rPr>
          <w:rFonts w:asciiTheme="minorHAnsi" w:hAnsiTheme="minorHAnsi" w:cstheme="minorHAnsi"/>
        </w:rPr>
        <w:t>and</w:t>
      </w:r>
      <w:r w:rsidR="00361431" w:rsidRPr="00F00E0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361431" w:rsidRPr="00F00E0D">
        <w:rPr>
          <w:rStyle w:val="Strong"/>
          <w:rFonts w:asciiTheme="minorHAnsi" w:hAnsiTheme="minorHAnsi" w:cstheme="minorHAnsi"/>
          <w:b w:val="0"/>
          <w:bCs w:val="0"/>
        </w:rPr>
        <w:t>signaling_and_security</w:t>
      </w:r>
      <w:proofErr w:type="spellEnd"/>
      <w:r w:rsidR="00361431" w:rsidRPr="00F00E0D">
        <w:rPr>
          <w:rFonts w:asciiTheme="minorHAnsi" w:hAnsiTheme="minorHAnsi" w:cstheme="minorHAnsi"/>
        </w:rPr>
        <w:t xml:space="preserve"> have minimal delay amounts, but recurring issues in such categories can still affect brand reputation or specific customer experiences.</w:t>
      </w:r>
    </w:p>
    <w:p w14:paraId="2E5341DE" w14:textId="4F42C52B" w:rsidR="000A3D09" w:rsidRDefault="000A3D09" w:rsidP="006644F1"/>
    <w:p w14:paraId="4F92D5A4" w14:textId="77777777" w:rsidR="00F00E0D" w:rsidRDefault="00F00E0D" w:rsidP="006644F1"/>
    <w:p w14:paraId="3FA6C7EC" w14:textId="4239D095" w:rsidR="006644F1" w:rsidRPr="00456C9B" w:rsidRDefault="006644F1" w:rsidP="0083613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456C9B">
        <w:rPr>
          <w:rFonts w:cstheme="minorHAnsi"/>
          <w:b/>
          <w:bCs/>
          <w:sz w:val="24"/>
          <w:szCs w:val="24"/>
          <w:u w:val="single"/>
        </w:rPr>
        <w:lastRenderedPageBreak/>
        <w:t>Monthly comparison of delayed and on time orders</w:t>
      </w:r>
    </w:p>
    <w:p w14:paraId="3F03AADD" w14:textId="448B227C" w:rsidR="006644F1" w:rsidRPr="00456C9B" w:rsidRDefault="006644F1" w:rsidP="006644F1">
      <w:pPr>
        <w:ind w:left="360"/>
        <w:rPr>
          <w:rFonts w:cstheme="minorHAnsi"/>
          <w:sz w:val="24"/>
          <w:szCs w:val="24"/>
        </w:rPr>
      </w:pPr>
    </w:p>
    <w:p w14:paraId="28B6C451" w14:textId="16E24CFF" w:rsidR="006644F1" w:rsidRPr="00456C9B" w:rsidRDefault="006644F1" w:rsidP="006644F1">
      <w:pPr>
        <w:ind w:left="360"/>
        <w:rPr>
          <w:rFonts w:cstheme="minorHAnsi"/>
          <w:sz w:val="24"/>
          <w:szCs w:val="24"/>
        </w:rPr>
      </w:pPr>
      <w:r w:rsidRPr="00456C9B">
        <w:rPr>
          <w:rFonts w:cstheme="minorHAnsi"/>
          <w:noProof/>
          <w:sz w:val="24"/>
          <w:szCs w:val="24"/>
        </w:rPr>
        <w:drawing>
          <wp:inline distT="0" distB="0" distL="0" distR="0" wp14:anchorId="02B080B9" wp14:editId="78968D7B">
            <wp:extent cx="504825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10" cy="22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D212" w14:textId="18AE895B" w:rsidR="000A3D09" w:rsidRPr="00456C9B" w:rsidRDefault="000A3D09" w:rsidP="006644F1">
      <w:pPr>
        <w:rPr>
          <w:rFonts w:cstheme="minorHAnsi"/>
          <w:b/>
          <w:bCs/>
          <w:sz w:val="24"/>
          <w:szCs w:val="24"/>
        </w:rPr>
      </w:pPr>
    </w:p>
    <w:p w14:paraId="14389DDB" w14:textId="431C0527" w:rsidR="00DE1017" w:rsidRPr="00456C9B" w:rsidRDefault="006644F1" w:rsidP="006644F1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456C9B">
        <w:rPr>
          <w:rFonts w:cstheme="minorHAnsi"/>
          <w:b/>
          <w:bCs/>
          <w:sz w:val="24"/>
          <w:szCs w:val="24"/>
          <w:u w:val="single"/>
        </w:rPr>
        <w:t>Visualization Summary:</w:t>
      </w:r>
    </w:p>
    <w:p w14:paraId="6C5E78CD" w14:textId="1FA45CE7" w:rsidR="006644F1" w:rsidRPr="006644F1" w:rsidRDefault="00456C9B" w:rsidP="006644F1">
      <w:pPr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A)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Type of Chart: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100% Stacked Column Chart</w:t>
      </w:r>
    </w:p>
    <w:p w14:paraId="7F4D4701" w14:textId="54A7CF11" w:rsidR="006644F1" w:rsidRPr="006644F1" w:rsidRDefault="00456C9B" w:rsidP="006644F1">
      <w:pPr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B)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X-Axis (Month):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January to December</w:t>
      </w:r>
    </w:p>
    <w:p w14:paraId="52A9FF5A" w14:textId="0B9AFC3B" w:rsidR="006644F1" w:rsidRPr="006644F1" w:rsidRDefault="00456C9B" w:rsidP="006644F1">
      <w:pPr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C)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Y-Axis (</w:t>
      </w:r>
      <w:proofErr w:type="spellStart"/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Order_IDs</w:t>
      </w:r>
      <w:proofErr w:type="spellEnd"/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):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Representing the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percentage share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of delayed (red) vs on-time (blue) deliveries per month</w:t>
      </w:r>
    </w:p>
    <w:p w14:paraId="6BDB4AA1" w14:textId="05B195CA" w:rsidR="006644F1" w:rsidRPr="00456C9B" w:rsidRDefault="00456C9B" w:rsidP="006644F1">
      <w:pPr>
        <w:spacing w:before="100" w:beforeAutospacing="1" w:after="100" w:afterAutospacing="1" w:line="240" w:lineRule="auto"/>
        <w:ind w:left="567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D)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Legend:</w:t>
      </w:r>
      <w:r w:rsidR="0087786B"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644F1" w:rsidRPr="006644F1">
        <w:rPr>
          <w:rFonts w:ascii="Segoe UI Emoji" w:eastAsia="Times New Roman" w:hAnsi="Segoe UI Emoji" w:cs="Segoe UI Emoji"/>
          <w:sz w:val="24"/>
          <w:szCs w:val="24"/>
          <w:lang w:eastAsia="en-IN"/>
        </w:rPr>
        <w:t>🔵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On Time</w:t>
      </w:r>
      <w:r w:rsidR="006644F1" w:rsidRPr="00456C9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6644F1" w:rsidRPr="006644F1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="006644F1" w:rsidRPr="006644F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644F1" w:rsidRPr="006644F1">
        <w:rPr>
          <w:rFonts w:eastAsia="Times New Roman" w:cstheme="minorHAnsi"/>
          <w:b/>
          <w:bCs/>
          <w:sz w:val="24"/>
          <w:szCs w:val="24"/>
          <w:lang w:eastAsia="en-IN"/>
        </w:rPr>
        <w:t>Delayed</w:t>
      </w:r>
    </w:p>
    <w:p w14:paraId="598C72CF" w14:textId="74734E7C" w:rsidR="0087786B" w:rsidRPr="00456C9B" w:rsidRDefault="0087786B" w:rsidP="0087786B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456C9B">
        <w:rPr>
          <w:rFonts w:cstheme="minorHAnsi"/>
          <w:b/>
          <w:bCs/>
          <w:sz w:val="24"/>
          <w:szCs w:val="24"/>
          <w:u w:val="single"/>
        </w:rPr>
        <w:t>Key insights:</w:t>
      </w:r>
    </w:p>
    <w:p w14:paraId="0696EA5B" w14:textId="77777777" w:rsidR="0087786B" w:rsidRPr="00456C9B" w:rsidRDefault="0087786B" w:rsidP="0087786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3689F2E" w14:textId="3FB63421" w:rsidR="0087786B" w:rsidRPr="00456C9B" w:rsidRDefault="0087786B" w:rsidP="0087786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709" w:hanging="283"/>
        <w:rPr>
          <w:rFonts w:eastAsia="Times New Roman" w:cstheme="minorHAnsi"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>High Overall Delivery Performance:</w:t>
      </w:r>
    </w:p>
    <w:p w14:paraId="0FAFA5BE" w14:textId="77777777" w:rsidR="0087786B" w:rsidRPr="0087786B" w:rsidRDefault="0087786B" w:rsidP="0087786B">
      <w:pPr>
        <w:numPr>
          <w:ilvl w:val="0"/>
          <w:numId w:val="11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87786B">
        <w:rPr>
          <w:rFonts w:eastAsia="Times New Roman" w:cstheme="minorHAnsi"/>
          <w:sz w:val="24"/>
          <w:szCs w:val="24"/>
          <w:lang w:eastAsia="en-IN"/>
        </w:rPr>
        <w:t>Across all months, on-time orders (blue) dominate, consistently exceeding ~90% of total orders.</w:t>
      </w:r>
    </w:p>
    <w:p w14:paraId="60763194" w14:textId="0B5C7B50" w:rsidR="0087786B" w:rsidRPr="0087786B" w:rsidRDefault="0087786B" w:rsidP="0087786B">
      <w:pPr>
        <w:spacing w:before="100" w:beforeAutospacing="1" w:after="100" w:afterAutospacing="1" w:line="240" w:lineRule="auto"/>
        <w:ind w:left="709" w:hanging="153"/>
        <w:rPr>
          <w:rFonts w:eastAsia="Times New Roman" w:cstheme="minorHAnsi"/>
          <w:sz w:val="24"/>
          <w:szCs w:val="24"/>
          <w:lang w:eastAsia="en-IN"/>
        </w:rPr>
      </w:pPr>
      <w:r w:rsidRPr="00456C9B">
        <w:rPr>
          <w:rFonts w:eastAsia="Times New Roman" w:cstheme="minorHAnsi"/>
          <w:sz w:val="24"/>
          <w:szCs w:val="24"/>
          <w:lang w:eastAsia="en-IN"/>
        </w:rPr>
        <w:t>b)</w:t>
      </w:r>
      <w:r w:rsidRPr="0087786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7786B">
        <w:rPr>
          <w:rFonts w:eastAsia="Times New Roman" w:cstheme="minorHAnsi"/>
          <w:b/>
          <w:bCs/>
          <w:sz w:val="24"/>
          <w:szCs w:val="24"/>
          <w:lang w:eastAsia="en-IN"/>
        </w:rPr>
        <w:t>Delay Consistency:</w:t>
      </w:r>
    </w:p>
    <w:p w14:paraId="3158E684" w14:textId="77777777" w:rsidR="0087786B" w:rsidRPr="0087786B" w:rsidRDefault="0087786B" w:rsidP="0087786B">
      <w:pPr>
        <w:numPr>
          <w:ilvl w:val="0"/>
          <w:numId w:val="12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87786B">
        <w:rPr>
          <w:rFonts w:eastAsia="Times New Roman" w:cstheme="minorHAnsi"/>
          <w:sz w:val="24"/>
          <w:szCs w:val="24"/>
          <w:lang w:eastAsia="en-IN"/>
        </w:rPr>
        <w:t>A small but visible proportion of delays (red) persists each month, suggesting that while most deliveries are on time, there is a recurring issue in a minor fraction of orders.</w:t>
      </w:r>
    </w:p>
    <w:p w14:paraId="3A901112" w14:textId="07AE08EB" w:rsidR="0087786B" w:rsidRPr="0087786B" w:rsidRDefault="0087786B" w:rsidP="0087786B">
      <w:pPr>
        <w:spacing w:before="100" w:beforeAutospacing="1" w:after="100" w:afterAutospacing="1" w:line="240" w:lineRule="auto"/>
        <w:ind w:left="709" w:hanging="153"/>
        <w:rPr>
          <w:rFonts w:eastAsia="Times New Roman" w:cstheme="minorHAnsi"/>
          <w:sz w:val="24"/>
          <w:szCs w:val="24"/>
          <w:lang w:eastAsia="en-IN"/>
        </w:rPr>
      </w:pPr>
      <w:r w:rsidRPr="00456C9B">
        <w:rPr>
          <w:rFonts w:eastAsia="Times New Roman" w:cstheme="minorHAnsi"/>
          <w:sz w:val="24"/>
          <w:szCs w:val="24"/>
          <w:lang w:eastAsia="en-IN"/>
        </w:rPr>
        <w:t xml:space="preserve">c) </w:t>
      </w:r>
      <w:r w:rsidRPr="0087786B">
        <w:rPr>
          <w:rFonts w:eastAsia="Times New Roman" w:cstheme="minorHAnsi"/>
          <w:b/>
          <w:bCs/>
          <w:sz w:val="24"/>
          <w:szCs w:val="24"/>
          <w:lang w:eastAsia="en-IN"/>
        </w:rPr>
        <w:t>Slight Monthly Variation:</w:t>
      </w:r>
    </w:p>
    <w:p w14:paraId="43EBC571" w14:textId="650C688E" w:rsidR="0087786B" w:rsidRPr="0087786B" w:rsidRDefault="0087786B" w:rsidP="0087786B">
      <w:pPr>
        <w:numPr>
          <w:ilvl w:val="0"/>
          <w:numId w:val="13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87786B">
        <w:rPr>
          <w:rFonts w:eastAsia="Times New Roman" w:cstheme="minorHAnsi"/>
          <w:sz w:val="24"/>
          <w:szCs w:val="24"/>
          <w:lang w:eastAsia="en-IN"/>
        </w:rPr>
        <w:t xml:space="preserve">March, </w:t>
      </w:r>
      <w:r w:rsidRPr="00456C9B">
        <w:rPr>
          <w:rFonts w:eastAsia="Times New Roman" w:cstheme="minorHAnsi"/>
          <w:sz w:val="24"/>
          <w:szCs w:val="24"/>
          <w:lang w:eastAsia="en-IN"/>
        </w:rPr>
        <w:t>April</w:t>
      </w:r>
      <w:r w:rsidRPr="0087786B">
        <w:rPr>
          <w:rFonts w:eastAsia="Times New Roman" w:cstheme="minorHAnsi"/>
          <w:sz w:val="24"/>
          <w:szCs w:val="24"/>
          <w:lang w:eastAsia="en-IN"/>
        </w:rPr>
        <w:t>, and December show a slightly higher share of delayed orders compared to other months.</w:t>
      </w:r>
    </w:p>
    <w:p w14:paraId="7F7181E9" w14:textId="5ED5F7A4" w:rsidR="0087786B" w:rsidRPr="0087786B" w:rsidRDefault="0087786B" w:rsidP="0087786B">
      <w:pPr>
        <w:numPr>
          <w:ilvl w:val="0"/>
          <w:numId w:val="13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87786B">
        <w:rPr>
          <w:rFonts w:eastAsia="Times New Roman" w:cstheme="minorHAnsi"/>
          <w:sz w:val="24"/>
          <w:szCs w:val="24"/>
          <w:lang w:eastAsia="en-IN"/>
        </w:rPr>
        <w:t>This could correlate with peak shopping periods, promotions, or supply chain stress points.</w:t>
      </w:r>
    </w:p>
    <w:p w14:paraId="240211D1" w14:textId="47835155" w:rsidR="0087786B" w:rsidRPr="00F00E0D" w:rsidRDefault="0087786B" w:rsidP="0087786B">
      <w:pPr>
        <w:pStyle w:val="ListParagraph"/>
        <w:numPr>
          <w:ilvl w:val="1"/>
          <w:numId w:val="13"/>
        </w:numPr>
        <w:ind w:left="993" w:hanging="426"/>
        <w:rPr>
          <w:rFonts w:cstheme="minorHAnsi"/>
          <w:b/>
          <w:bCs/>
          <w:sz w:val="28"/>
          <w:szCs w:val="28"/>
          <w:u w:val="single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lastRenderedPageBreak/>
        <w:t>Payment method analysis</w:t>
      </w:r>
    </w:p>
    <w:p w14:paraId="35FC8C75" w14:textId="3578D857" w:rsidR="0087786B" w:rsidRPr="006644F1" w:rsidRDefault="0079355C" w:rsidP="006644F1">
      <w:pPr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 w:rsidRPr="00456C9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8105419" wp14:editId="52304BF5">
            <wp:extent cx="3150870" cy="186033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650" cy="18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718A" w14:textId="4533A588" w:rsidR="0079355C" w:rsidRPr="00456C9B" w:rsidRDefault="0079355C" w:rsidP="0079355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456C9B">
        <w:rPr>
          <w:rFonts w:cstheme="minorHAnsi"/>
          <w:b/>
          <w:bCs/>
          <w:u w:val="single"/>
        </w:rPr>
        <w:t>Visualization Summary:</w:t>
      </w:r>
    </w:p>
    <w:p w14:paraId="6AB7C333" w14:textId="6A77A13D" w:rsidR="0079355C" w:rsidRPr="0079355C" w:rsidRDefault="00456C9B" w:rsidP="0079355C">
      <w:pPr>
        <w:spacing w:before="100" w:beforeAutospacing="1" w:after="100" w:afterAutospacing="1" w:line="240" w:lineRule="auto"/>
        <w:ind w:firstLine="567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A) </w:t>
      </w:r>
      <w:r w:rsidR="0079355C" w:rsidRPr="0079355C">
        <w:rPr>
          <w:rFonts w:eastAsia="Times New Roman" w:cstheme="minorHAnsi"/>
          <w:sz w:val="24"/>
          <w:szCs w:val="24"/>
          <w:lang w:eastAsia="en-IN"/>
        </w:rPr>
        <w:t>Chart Type: Pie Chart</w:t>
      </w:r>
    </w:p>
    <w:p w14:paraId="26C876F0" w14:textId="73DD8FF7" w:rsidR="0079355C" w:rsidRPr="0079355C" w:rsidRDefault="00456C9B" w:rsidP="0079355C">
      <w:pPr>
        <w:spacing w:before="100" w:beforeAutospacing="1" w:after="100" w:afterAutospacing="1" w:line="240" w:lineRule="auto"/>
        <w:ind w:firstLine="567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B) </w:t>
      </w:r>
      <w:r w:rsidR="0079355C" w:rsidRPr="0079355C">
        <w:rPr>
          <w:rFonts w:eastAsia="Times New Roman" w:cstheme="minorHAnsi"/>
          <w:sz w:val="24"/>
          <w:szCs w:val="24"/>
          <w:lang w:eastAsia="en-IN"/>
        </w:rPr>
        <w:t xml:space="preserve">Measure: Payment values (%) by </w:t>
      </w:r>
      <w:proofErr w:type="spellStart"/>
      <w:r w:rsidR="0079355C" w:rsidRPr="0079355C">
        <w:rPr>
          <w:rFonts w:eastAsia="Times New Roman" w:cstheme="minorHAnsi"/>
          <w:sz w:val="20"/>
          <w:szCs w:val="20"/>
          <w:lang w:eastAsia="en-IN"/>
        </w:rPr>
        <w:t>payment_type</w:t>
      </w:r>
      <w:proofErr w:type="spellEnd"/>
    </w:p>
    <w:p w14:paraId="73878EE1" w14:textId="2A9F873D" w:rsidR="0079355C" w:rsidRPr="0079355C" w:rsidRDefault="00456C9B" w:rsidP="0079355C">
      <w:pPr>
        <w:spacing w:before="100" w:beforeAutospacing="1" w:after="100" w:afterAutospacing="1" w:line="240" w:lineRule="auto"/>
        <w:ind w:firstLine="567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C)</w:t>
      </w:r>
      <w:r w:rsidR="0079355C" w:rsidRPr="0079355C">
        <w:rPr>
          <w:rFonts w:eastAsia="Times New Roman" w:cstheme="minorHAnsi"/>
          <w:sz w:val="24"/>
          <w:szCs w:val="24"/>
          <w:lang w:eastAsia="en-IN"/>
        </w:rPr>
        <w:t xml:space="preserve"> Legend Categories:</w:t>
      </w:r>
    </w:p>
    <w:p w14:paraId="328148B2" w14:textId="77777777" w:rsidR="0079355C" w:rsidRPr="0079355C" w:rsidRDefault="0079355C" w:rsidP="0079355C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567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9355C">
        <w:rPr>
          <w:rFonts w:eastAsia="Times New Roman" w:cstheme="minorHAnsi"/>
          <w:sz w:val="24"/>
          <w:szCs w:val="24"/>
          <w:lang w:eastAsia="en-IN"/>
        </w:rPr>
        <w:t>credit_card</w:t>
      </w:r>
      <w:proofErr w:type="spellEnd"/>
      <w:r w:rsidRPr="0079355C">
        <w:rPr>
          <w:rFonts w:eastAsia="Times New Roman" w:cstheme="minorHAnsi"/>
          <w:sz w:val="24"/>
          <w:szCs w:val="24"/>
          <w:lang w:eastAsia="en-IN"/>
        </w:rPr>
        <w:t xml:space="preserve"> – Dark Blue</w:t>
      </w:r>
    </w:p>
    <w:p w14:paraId="24CEB15A" w14:textId="77777777" w:rsidR="0079355C" w:rsidRPr="0079355C" w:rsidRDefault="0079355C" w:rsidP="0079355C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567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9355C">
        <w:rPr>
          <w:rFonts w:eastAsia="Times New Roman" w:cstheme="minorHAnsi"/>
          <w:sz w:val="24"/>
          <w:szCs w:val="24"/>
          <w:lang w:eastAsia="en-IN"/>
        </w:rPr>
        <w:t>boleto</w:t>
      </w:r>
      <w:proofErr w:type="spellEnd"/>
      <w:r w:rsidRPr="0079355C">
        <w:rPr>
          <w:rFonts w:eastAsia="Times New Roman" w:cstheme="minorHAnsi"/>
          <w:sz w:val="24"/>
          <w:szCs w:val="24"/>
          <w:lang w:eastAsia="en-IN"/>
        </w:rPr>
        <w:t xml:space="preserve"> – Light Blue</w:t>
      </w:r>
    </w:p>
    <w:p w14:paraId="2876979F" w14:textId="03712B27" w:rsidR="0079355C" w:rsidRPr="00456C9B" w:rsidRDefault="0079355C" w:rsidP="0079355C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567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9355C">
        <w:rPr>
          <w:rFonts w:eastAsia="Times New Roman" w:cstheme="minorHAnsi"/>
          <w:sz w:val="24"/>
          <w:szCs w:val="24"/>
          <w:lang w:eastAsia="en-IN"/>
        </w:rPr>
        <w:t>debit_card</w:t>
      </w:r>
      <w:proofErr w:type="spellEnd"/>
      <w:r w:rsidRPr="0079355C">
        <w:rPr>
          <w:rFonts w:eastAsia="Times New Roman" w:cstheme="minorHAnsi"/>
          <w:sz w:val="24"/>
          <w:szCs w:val="24"/>
          <w:lang w:eastAsia="en-IN"/>
        </w:rPr>
        <w:t xml:space="preserve"> – Red-Orange</w:t>
      </w:r>
    </w:p>
    <w:p w14:paraId="27911837" w14:textId="2A619E97" w:rsidR="0079355C" w:rsidRPr="0079355C" w:rsidRDefault="0079355C" w:rsidP="0079355C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567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56C9B">
        <w:rPr>
          <w:rFonts w:eastAsia="Times New Roman" w:cstheme="minorHAnsi"/>
          <w:sz w:val="24"/>
          <w:szCs w:val="24"/>
          <w:lang w:eastAsia="en-IN"/>
        </w:rPr>
        <w:t>not_defined</w:t>
      </w:r>
      <w:proofErr w:type="spellEnd"/>
      <w:r w:rsidRPr="00456C9B">
        <w:rPr>
          <w:rFonts w:eastAsia="Times New Roman" w:cstheme="minorHAnsi"/>
          <w:sz w:val="24"/>
          <w:szCs w:val="24"/>
          <w:lang w:eastAsia="en-IN"/>
        </w:rPr>
        <w:t xml:space="preserve"> – Dark purple</w:t>
      </w:r>
    </w:p>
    <w:p w14:paraId="7D9BEDD5" w14:textId="7E0DC9D7" w:rsidR="006644F1" w:rsidRPr="00456C9B" w:rsidRDefault="0079355C" w:rsidP="00294978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567"/>
        <w:rPr>
          <w:rFonts w:cstheme="minorHAnsi"/>
          <w:b/>
          <w:bCs/>
          <w:u w:val="single"/>
        </w:rPr>
      </w:pPr>
      <w:r w:rsidRPr="0079355C">
        <w:rPr>
          <w:rFonts w:eastAsia="Times New Roman" w:cstheme="minorHAnsi"/>
          <w:sz w:val="24"/>
          <w:szCs w:val="24"/>
          <w:lang w:eastAsia="en-IN"/>
        </w:rPr>
        <w:t xml:space="preserve">voucher – </w:t>
      </w:r>
      <w:r w:rsidRPr="00456C9B">
        <w:rPr>
          <w:rFonts w:eastAsia="Times New Roman" w:cstheme="minorHAnsi"/>
          <w:sz w:val="24"/>
          <w:szCs w:val="24"/>
          <w:lang w:eastAsia="en-IN"/>
        </w:rPr>
        <w:t xml:space="preserve">Light </w:t>
      </w:r>
      <w:r w:rsidRPr="0079355C">
        <w:rPr>
          <w:rFonts w:eastAsia="Times New Roman" w:cstheme="minorHAnsi"/>
          <w:sz w:val="24"/>
          <w:szCs w:val="24"/>
          <w:lang w:eastAsia="en-IN"/>
        </w:rPr>
        <w:t>Purple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868"/>
        <w:gridCol w:w="5250"/>
      </w:tblGrid>
      <w:tr w:rsidR="00FC702B" w:rsidRPr="00456C9B" w14:paraId="559462B4" w14:textId="77777777" w:rsidTr="00FC70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52F15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Payment Type</w:t>
            </w:r>
          </w:p>
        </w:tc>
        <w:tc>
          <w:tcPr>
            <w:tcW w:w="0" w:type="auto"/>
            <w:vAlign w:val="center"/>
            <w:hideMark/>
          </w:tcPr>
          <w:p w14:paraId="7F0C3BE6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Share (%)</w:t>
            </w:r>
          </w:p>
        </w:tc>
        <w:tc>
          <w:tcPr>
            <w:tcW w:w="0" w:type="auto"/>
            <w:vAlign w:val="center"/>
            <w:hideMark/>
          </w:tcPr>
          <w:p w14:paraId="1362EFC0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Interpretation</w:t>
            </w:r>
          </w:p>
        </w:tc>
      </w:tr>
      <w:tr w:rsidR="00FC702B" w:rsidRPr="00456C9B" w14:paraId="01CE42C1" w14:textId="77777777" w:rsidTr="00FC7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77F2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3F554F9D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78.34%</w:t>
            </w:r>
          </w:p>
        </w:tc>
        <w:tc>
          <w:tcPr>
            <w:tcW w:w="0" w:type="auto"/>
            <w:vAlign w:val="center"/>
            <w:hideMark/>
          </w:tcPr>
          <w:p w14:paraId="46DC0590" w14:textId="748FB55C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Dominant method – customers heavily rely on credit card </w:t>
            </w:r>
          </w:p>
        </w:tc>
      </w:tr>
      <w:tr w:rsidR="00FC702B" w:rsidRPr="00456C9B" w14:paraId="7719688B" w14:textId="77777777" w:rsidTr="00FC7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86A1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Boleto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0C841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17.92%</w:t>
            </w:r>
          </w:p>
        </w:tc>
        <w:tc>
          <w:tcPr>
            <w:tcW w:w="0" w:type="auto"/>
            <w:vAlign w:val="center"/>
            <w:hideMark/>
          </w:tcPr>
          <w:p w14:paraId="7FFF1018" w14:textId="23865C4D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Second-most used – popular for users without cards</w:t>
            </w:r>
          </w:p>
        </w:tc>
      </w:tr>
      <w:tr w:rsidR="00FC702B" w:rsidRPr="00456C9B" w14:paraId="1C84C0D3" w14:textId="77777777" w:rsidTr="00FC7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9834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Debit Card</w:t>
            </w:r>
          </w:p>
        </w:tc>
        <w:tc>
          <w:tcPr>
            <w:tcW w:w="0" w:type="auto"/>
            <w:vAlign w:val="center"/>
            <w:hideMark/>
          </w:tcPr>
          <w:p w14:paraId="57F7D888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1.36%</w:t>
            </w:r>
          </w:p>
        </w:tc>
        <w:tc>
          <w:tcPr>
            <w:tcW w:w="0" w:type="auto"/>
            <w:vAlign w:val="center"/>
            <w:hideMark/>
          </w:tcPr>
          <w:p w14:paraId="5A3ACAD9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Rarely used, may indicate lack of integration or user preference</w:t>
            </w:r>
          </w:p>
        </w:tc>
      </w:tr>
      <w:tr w:rsidR="00FC702B" w:rsidRPr="00456C9B" w14:paraId="6AFC7DDB" w14:textId="77777777" w:rsidTr="00FC7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17E6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Voucher / Not Defined</w:t>
            </w:r>
          </w:p>
        </w:tc>
        <w:tc>
          <w:tcPr>
            <w:tcW w:w="0" w:type="auto"/>
            <w:vAlign w:val="center"/>
            <w:hideMark/>
          </w:tcPr>
          <w:p w14:paraId="352FA3B4" w14:textId="6A93928A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456C9B">
              <w:rPr>
                <w:rFonts w:eastAsia="Times New Roman" w:cstheme="minorHAnsi"/>
                <w:sz w:val="20"/>
                <w:szCs w:val="20"/>
                <w:lang w:eastAsia="en-IN"/>
              </w:rPr>
              <w:t>2.37%</w:t>
            </w:r>
          </w:p>
        </w:tc>
        <w:tc>
          <w:tcPr>
            <w:tcW w:w="0" w:type="auto"/>
            <w:vAlign w:val="center"/>
            <w:hideMark/>
          </w:tcPr>
          <w:p w14:paraId="7FA7FF5D" w14:textId="77777777" w:rsidR="0079355C" w:rsidRPr="0079355C" w:rsidRDefault="0079355C" w:rsidP="0079355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9355C">
              <w:rPr>
                <w:rFonts w:eastAsia="Times New Roman" w:cstheme="minorHAnsi"/>
                <w:sz w:val="20"/>
                <w:szCs w:val="20"/>
                <w:lang w:eastAsia="en-IN"/>
              </w:rPr>
              <w:t>Minimal impact, possibly deprecated or legacy data</w:t>
            </w:r>
          </w:p>
        </w:tc>
      </w:tr>
    </w:tbl>
    <w:p w14:paraId="178E5EC6" w14:textId="77777777" w:rsidR="00FC702B" w:rsidRPr="00456C9B" w:rsidRDefault="00FC702B" w:rsidP="00FC702B">
      <w:pPr>
        <w:pStyle w:val="ListParagraph"/>
        <w:rPr>
          <w:rFonts w:cstheme="minorHAnsi"/>
          <w:b/>
          <w:bCs/>
        </w:rPr>
      </w:pPr>
    </w:p>
    <w:p w14:paraId="291DA236" w14:textId="73D94F79" w:rsidR="00FC702B" w:rsidRPr="00456C9B" w:rsidRDefault="00FC702B" w:rsidP="00FC702B">
      <w:pPr>
        <w:pStyle w:val="ListParagraph"/>
        <w:numPr>
          <w:ilvl w:val="1"/>
          <w:numId w:val="2"/>
        </w:numPr>
        <w:ind w:left="284" w:hanging="284"/>
        <w:rPr>
          <w:rFonts w:cstheme="minorHAnsi"/>
          <w:b/>
          <w:bCs/>
        </w:rPr>
      </w:pPr>
      <w:r w:rsidRPr="00456C9B">
        <w:rPr>
          <w:rFonts w:cstheme="minorHAnsi"/>
          <w:b/>
          <w:bCs/>
          <w:u w:val="single"/>
        </w:rPr>
        <w:t>Key insights:</w:t>
      </w:r>
    </w:p>
    <w:p w14:paraId="72CACE57" w14:textId="77777777" w:rsidR="00C3760A" w:rsidRPr="00456C9B" w:rsidRDefault="00C3760A" w:rsidP="00C3760A">
      <w:pPr>
        <w:pStyle w:val="ListParagraph"/>
        <w:ind w:left="284"/>
        <w:rPr>
          <w:rFonts w:cstheme="minorHAnsi"/>
          <w:b/>
          <w:bCs/>
        </w:rPr>
      </w:pPr>
    </w:p>
    <w:p w14:paraId="133DB08A" w14:textId="4947BEF9" w:rsidR="00FC702B" w:rsidRPr="00456C9B" w:rsidRDefault="00FC702B" w:rsidP="00C3760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>Credit Cards Are King:</w:t>
      </w:r>
      <w:r w:rsidR="00C3760A"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456C9B">
        <w:rPr>
          <w:rFonts w:eastAsia="Times New Roman" w:cstheme="minorHAnsi"/>
          <w:sz w:val="24"/>
          <w:szCs w:val="24"/>
          <w:lang w:eastAsia="en-IN"/>
        </w:rPr>
        <w:t>Over three-quarters of all payment value is processed through credit cards, highlighting this as the preferred and possibly most convenient option for most users.</w:t>
      </w:r>
    </w:p>
    <w:p w14:paraId="6076376A" w14:textId="77777777" w:rsidR="00C3760A" w:rsidRPr="00456C9B" w:rsidRDefault="00C3760A" w:rsidP="00C3760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23D3181" w14:textId="33703CCD" w:rsidR="00FC702B" w:rsidRPr="00456C9B" w:rsidRDefault="00FC702B" w:rsidP="00C3760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Significant </w:t>
      </w:r>
      <w:proofErr w:type="spellStart"/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>Boleto</w:t>
      </w:r>
      <w:proofErr w:type="spellEnd"/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Usage</w:t>
      </w:r>
      <w:r w:rsidR="00C909E0" w:rsidRPr="00456C9B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="00C3760A"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456C9B">
        <w:rPr>
          <w:rFonts w:eastAsia="Times New Roman" w:cstheme="minorHAnsi"/>
          <w:sz w:val="24"/>
          <w:szCs w:val="24"/>
          <w:lang w:eastAsia="en-IN"/>
        </w:rPr>
        <w:t>Boleto</w:t>
      </w:r>
      <w:proofErr w:type="spellEnd"/>
      <w:r w:rsidRPr="00456C9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C3760A" w:rsidRPr="00456C9B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456C9B">
        <w:rPr>
          <w:rFonts w:eastAsia="Times New Roman" w:cstheme="minorHAnsi"/>
          <w:sz w:val="24"/>
          <w:szCs w:val="24"/>
          <w:lang w:eastAsia="en-IN"/>
        </w:rPr>
        <w:t>specific payment method, accounts for nearly 18%, showing a sizable segment prefers or requires non-card-based options.</w:t>
      </w:r>
    </w:p>
    <w:p w14:paraId="605D4265" w14:textId="77777777" w:rsidR="00C3760A" w:rsidRPr="00456C9B" w:rsidRDefault="00C3760A" w:rsidP="00C3760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1A3DEA2" w14:textId="7A1DC267" w:rsidR="00FC702B" w:rsidRPr="00456C9B" w:rsidRDefault="00FC702B" w:rsidP="00C3760A">
      <w:pPr>
        <w:numPr>
          <w:ilvl w:val="0"/>
          <w:numId w:val="16"/>
        </w:numPr>
        <w:spacing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C702B">
        <w:rPr>
          <w:rFonts w:eastAsia="Times New Roman" w:cstheme="minorHAnsi"/>
          <w:b/>
          <w:bCs/>
          <w:sz w:val="24"/>
          <w:szCs w:val="24"/>
          <w:lang w:eastAsia="en-IN"/>
        </w:rPr>
        <w:t>Low Debit and Voucher Use</w:t>
      </w:r>
      <w:r w:rsidR="00C909E0" w:rsidRPr="00456C9B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="00C3760A"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456C9B">
        <w:rPr>
          <w:rFonts w:eastAsia="Times New Roman" w:cstheme="minorHAnsi"/>
          <w:sz w:val="24"/>
          <w:szCs w:val="24"/>
          <w:lang w:eastAsia="en-IN"/>
        </w:rPr>
        <w:t>These methods represent a very small portion, which may be due to</w:t>
      </w:r>
      <w:r w:rsidR="00C909E0" w:rsidRPr="00456C9B">
        <w:rPr>
          <w:rFonts w:eastAsia="Times New Roman" w:cstheme="minorHAnsi"/>
          <w:sz w:val="24"/>
          <w:szCs w:val="24"/>
          <w:lang w:eastAsia="en-IN"/>
        </w:rPr>
        <w:t xml:space="preserve"> l</w:t>
      </w:r>
      <w:r w:rsidRPr="00456C9B">
        <w:rPr>
          <w:rFonts w:eastAsia="Times New Roman" w:cstheme="minorHAnsi"/>
          <w:sz w:val="24"/>
          <w:szCs w:val="24"/>
          <w:lang w:eastAsia="en-IN"/>
        </w:rPr>
        <w:t>imited support or availability</w:t>
      </w:r>
      <w:r w:rsidR="00C909E0" w:rsidRPr="00456C9B">
        <w:rPr>
          <w:rFonts w:eastAsia="Times New Roman" w:cstheme="minorHAnsi"/>
          <w:sz w:val="24"/>
          <w:szCs w:val="24"/>
          <w:lang w:eastAsia="en-IN"/>
        </w:rPr>
        <w:t xml:space="preserve"> and business model focuses on post-paid transactions.</w:t>
      </w:r>
    </w:p>
    <w:p w14:paraId="13FCBB35" w14:textId="45D01983" w:rsidR="00C3760A" w:rsidRPr="00F00E0D" w:rsidRDefault="00C3760A" w:rsidP="00C3760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567" w:hanging="426"/>
        <w:rPr>
          <w:rFonts w:eastAsia="Times New Roman" w:cstheme="minorHAnsi"/>
          <w:sz w:val="28"/>
          <w:szCs w:val="28"/>
          <w:lang w:eastAsia="en-IN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lastRenderedPageBreak/>
        <w:t>Product Rating Analysis</w:t>
      </w:r>
    </w:p>
    <w:p w14:paraId="4F40FC6D" w14:textId="63883444" w:rsidR="00C3760A" w:rsidRPr="00456C9B" w:rsidRDefault="00C3760A" w:rsidP="00C3760A">
      <w:pPr>
        <w:spacing w:before="100" w:beforeAutospacing="1" w:after="100" w:afterAutospacing="1" w:line="240" w:lineRule="auto"/>
        <w:ind w:left="141"/>
        <w:rPr>
          <w:rFonts w:eastAsia="Times New Roman" w:cstheme="minorHAnsi"/>
          <w:sz w:val="24"/>
          <w:szCs w:val="24"/>
          <w:lang w:eastAsia="en-IN"/>
        </w:rPr>
      </w:pPr>
      <w:r w:rsidRPr="00456C9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EB6CB65" wp14:editId="6F79AC06">
            <wp:extent cx="2406015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95" cy="18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C9B">
        <w:rPr>
          <w:rFonts w:cstheme="minorHAnsi"/>
          <w:noProof/>
        </w:rPr>
        <w:t xml:space="preserve"> </w:t>
      </w:r>
      <w:r w:rsidRPr="00456C9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29AB82A" wp14:editId="160FD7CF">
            <wp:extent cx="2768600" cy="1841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6" cy="18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954E" w14:textId="443D006F" w:rsidR="00C3760A" w:rsidRPr="00456C9B" w:rsidRDefault="00C3760A" w:rsidP="00C3760A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456C9B">
        <w:rPr>
          <w:rFonts w:cstheme="minorHAnsi"/>
          <w:b/>
          <w:bCs/>
          <w:u w:val="single"/>
        </w:rPr>
        <w:t>Visualization Summary:</w:t>
      </w:r>
    </w:p>
    <w:p w14:paraId="73467724" w14:textId="71559198" w:rsidR="00C3760A" w:rsidRPr="00456C9B" w:rsidRDefault="00C3760A" w:rsidP="00C3760A">
      <w:pPr>
        <w:pStyle w:val="ListParagraph"/>
        <w:rPr>
          <w:rFonts w:cstheme="minorHAnsi"/>
          <w:b/>
          <w:bCs/>
          <w:u w:val="single"/>
        </w:rPr>
      </w:pPr>
    </w:p>
    <w:p w14:paraId="3F1197DD" w14:textId="771CEFB1" w:rsidR="00C3760A" w:rsidRPr="00C3760A" w:rsidRDefault="00456C9B" w:rsidP="00677B99">
      <w:pPr>
        <w:spacing w:before="100" w:beforeAutospacing="1" w:after="100" w:afterAutospacing="1" w:line="240" w:lineRule="auto"/>
        <w:ind w:left="709" w:firstLine="14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A)</w:t>
      </w:r>
      <w:r w:rsidR="00C3760A" w:rsidRPr="00C3760A">
        <w:rPr>
          <w:rFonts w:eastAsia="Times New Roman" w:cstheme="minorHAnsi"/>
          <w:sz w:val="24"/>
          <w:szCs w:val="24"/>
          <w:lang w:eastAsia="en-IN"/>
        </w:rPr>
        <w:t xml:space="preserve"> Two bar charts:</w:t>
      </w:r>
    </w:p>
    <w:p w14:paraId="3AC9B727" w14:textId="77777777" w:rsidR="00456C9B" w:rsidRPr="00456C9B" w:rsidRDefault="00C3760A" w:rsidP="00456C9B">
      <w:pPr>
        <w:pStyle w:val="ListParagraph"/>
        <w:numPr>
          <w:ilvl w:val="0"/>
          <w:numId w:val="17"/>
        </w:numPr>
        <w:tabs>
          <w:tab w:val="clear" w:pos="720"/>
          <w:tab w:val="num" w:pos="709"/>
          <w:tab w:val="left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>Top 10 Products via Rating</w:t>
      </w:r>
      <w:r w:rsidR="00456C9B"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</w:t>
      </w:r>
    </w:p>
    <w:p w14:paraId="7732CC0E" w14:textId="331251D9" w:rsidR="00C3760A" w:rsidRPr="00456C9B" w:rsidRDefault="00C3760A" w:rsidP="00456C9B">
      <w:pPr>
        <w:pStyle w:val="ListParagraph"/>
        <w:numPr>
          <w:ilvl w:val="0"/>
          <w:numId w:val="17"/>
        </w:numPr>
        <w:tabs>
          <w:tab w:val="clear" w:pos="720"/>
          <w:tab w:val="num" w:pos="709"/>
          <w:tab w:val="left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>Bottom 10 Products via Rating</w:t>
      </w:r>
    </w:p>
    <w:p w14:paraId="72CB1F8E" w14:textId="09B599C0" w:rsidR="00C3760A" w:rsidRPr="00C3760A" w:rsidRDefault="00456C9B" w:rsidP="00677B99">
      <w:pPr>
        <w:spacing w:before="100" w:beforeAutospacing="1" w:after="100" w:afterAutospacing="1" w:line="240" w:lineRule="auto"/>
        <w:ind w:left="709" w:firstLine="14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B)</w:t>
      </w:r>
      <w:r w:rsidR="00C3760A" w:rsidRPr="00C3760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3760A" w:rsidRPr="00C3760A">
        <w:rPr>
          <w:rFonts w:eastAsia="Times New Roman" w:cstheme="minorHAnsi"/>
          <w:b/>
          <w:bCs/>
          <w:sz w:val="24"/>
          <w:szCs w:val="24"/>
          <w:lang w:eastAsia="en-IN"/>
        </w:rPr>
        <w:t>X-axis:</w:t>
      </w:r>
      <w:r w:rsidR="00C3760A" w:rsidRPr="00C3760A">
        <w:rPr>
          <w:rFonts w:eastAsia="Times New Roman" w:cstheme="minorHAnsi"/>
          <w:sz w:val="24"/>
          <w:szCs w:val="24"/>
          <w:lang w:eastAsia="en-IN"/>
        </w:rPr>
        <w:t xml:space="preserve"> Product Category Name</w:t>
      </w:r>
    </w:p>
    <w:p w14:paraId="4BD56FE0" w14:textId="782849F0" w:rsidR="00C3760A" w:rsidRPr="00456C9B" w:rsidRDefault="00456C9B" w:rsidP="00677B99">
      <w:pPr>
        <w:spacing w:before="100" w:beforeAutospacing="1" w:after="100" w:afterAutospacing="1" w:line="240" w:lineRule="auto"/>
        <w:ind w:left="709" w:firstLine="14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C) </w:t>
      </w:r>
      <w:r w:rsidR="00C3760A" w:rsidRPr="00C3760A">
        <w:rPr>
          <w:rFonts w:eastAsia="Times New Roman" w:cstheme="minorHAnsi"/>
          <w:b/>
          <w:bCs/>
          <w:sz w:val="24"/>
          <w:szCs w:val="24"/>
          <w:lang w:eastAsia="en-IN"/>
        </w:rPr>
        <w:t>Y-axis:</w:t>
      </w:r>
      <w:r w:rsidR="00C3760A" w:rsidRPr="00C3760A">
        <w:rPr>
          <w:rFonts w:eastAsia="Times New Roman" w:cstheme="minorHAnsi"/>
          <w:sz w:val="24"/>
          <w:szCs w:val="24"/>
          <w:lang w:eastAsia="en-IN"/>
        </w:rPr>
        <w:t xml:space="preserve"> Average Customer Rating (Scale: 1 to 5)</w:t>
      </w:r>
    </w:p>
    <w:p w14:paraId="24617D62" w14:textId="10C68BAF" w:rsidR="00677B99" w:rsidRPr="00456C9B" w:rsidRDefault="00C3760A" w:rsidP="00677B99">
      <w:pPr>
        <w:pStyle w:val="ListParagraph"/>
        <w:numPr>
          <w:ilvl w:val="1"/>
          <w:numId w:val="2"/>
        </w:numPr>
        <w:ind w:left="426" w:hanging="142"/>
        <w:rPr>
          <w:rFonts w:cstheme="minorHAnsi"/>
          <w:b/>
          <w:bCs/>
        </w:rPr>
      </w:pPr>
      <w:r w:rsidRPr="00456C9B">
        <w:rPr>
          <w:rFonts w:cstheme="minorHAnsi"/>
          <w:b/>
          <w:bCs/>
          <w:u w:val="single"/>
        </w:rPr>
        <w:t>Key insights</w:t>
      </w:r>
      <w:r w:rsidR="00677B99" w:rsidRPr="00456C9B">
        <w:rPr>
          <w:rFonts w:cstheme="minorHAnsi"/>
          <w:b/>
          <w:bCs/>
          <w:u w:val="single"/>
        </w:rPr>
        <w:t>: Top 10 categories</w:t>
      </w:r>
    </w:p>
    <w:p w14:paraId="4B13E88D" w14:textId="77777777" w:rsidR="00677B99" w:rsidRPr="00677B99" w:rsidRDefault="00677B99" w:rsidP="00677B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77B99">
        <w:rPr>
          <w:rFonts w:eastAsia="Times New Roman" w:cstheme="minorHAnsi"/>
          <w:b/>
          <w:bCs/>
          <w:sz w:val="24"/>
          <w:szCs w:val="24"/>
          <w:lang w:eastAsia="en-IN"/>
        </w:rPr>
        <w:t>Media &amp; Books Dominate</w:t>
      </w:r>
      <w:r w:rsidRPr="00677B99">
        <w:rPr>
          <w:rFonts w:eastAsia="Times New Roman" w:cstheme="minorHAnsi"/>
          <w:sz w:val="24"/>
          <w:szCs w:val="24"/>
          <w:lang w:eastAsia="en-IN"/>
        </w:rPr>
        <w:t xml:space="preserve">: Categories like </w:t>
      </w:r>
      <w:proofErr w:type="spellStart"/>
      <w:r w:rsidRPr="00677B99">
        <w:rPr>
          <w:rFonts w:eastAsia="Times New Roman" w:cstheme="minorHAnsi"/>
          <w:sz w:val="24"/>
          <w:szCs w:val="24"/>
          <w:lang w:eastAsia="en-IN"/>
        </w:rPr>
        <w:t>cds_dvds_musicals</w:t>
      </w:r>
      <w:proofErr w:type="spellEnd"/>
      <w:r w:rsidRPr="00677B99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677B99">
        <w:rPr>
          <w:rFonts w:eastAsia="Times New Roman" w:cstheme="minorHAnsi"/>
          <w:sz w:val="24"/>
          <w:szCs w:val="24"/>
          <w:lang w:eastAsia="en-IN"/>
        </w:rPr>
        <w:t>books_general</w:t>
      </w:r>
      <w:proofErr w:type="spellEnd"/>
      <w:r w:rsidRPr="00677B99">
        <w:rPr>
          <w:rFonts w:eastAsia="Times New Roman" w:cstheme="minorHAnsi"/>
          <w:sz w:val="24"/>
          <w:szCs w:val="24"/>
          <w:lang w:eastAsia="en-IN"/>
        </w:rPr>
        <w:t xml:space="preserve">, and </w:t>
      </w:r>
      <w:proofErr w:type="spellStart"/>
      <w:r w:rsidRPr="00677B99">
        <w:rPr>
          <w:rFonts w:eastAsia="Times New Roman" w:cstheme="minorHAnsi"/>
          <w:sz w:val="24"/>
          <w:szCs w:val="24"/>
          <w:lang w:eastAsia="en-IN"/>
        </w:rPr>
        <w:t>books_imported</w:t>
      </w:r>
      <w:proofErr w:type="spellEnd"/>
      <w:r w:rsidRPr="00677B99">
        <w:rPr>
          <w:rFonts w:eastAsia="Times New Roman" w:cstheme="minorHAnsi"/>
          <w:sz w:val="24"/>
          <w:szCs w:val="24"/>
          <w:lang w:eastAsia="en-IN"/>
        </w:rPr>
        <w:t xml:space="preserve"> consistently receive high ratings, indicating customer satisfaction with tangible, content-based products.</w:t>
      </w:r>
    </w:p>
    <w:p w14:paraId="55CD3BCB" w14:textId="77777777" w:rsidR="00677B99" w:rsidRPr="00677B99" w:rsidRDefault="00677B99" w:rsidP="00677B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77B99">
        <w:rPr>
          <w:rFonts w:eastAsia="Times New Roman" w:cstheme="minorHAnsi"/>
          <w:b/>
          <w:bCs/>
          <w:sz w:val="24"/>
          <w:szCs w:val="24"/>
          <w:lang w:eastAsia="en-IN"/>
        </w:rPr>
        <w:t>Gifting and Lifestyle</w:t>
      </w:r>
      <w:r w:rsidRPr="00677B99">
        <w:rPr>
          <w:rFonts w:eastAsia="Times New Roman" w:cstheme="minorHAnsi"/>
          <w:sz w:val="24"/>
          <w:szCs w:val="24"/>
          <w:lang w:eastAsia="en-IN"/>
        </w:rPr>
        <w:t xml:space="preserve">: flowers and </w:t>
      </w:r>
      <w:proofErr w:type="spellStart"/>
      <w:r w:rsidRPr="00677B99">
        <w:rPr>
          <w:rFonts w:eastAsia="Times New Roman" w:cstheme="minorHAnsi"/>
          <w:sz w:val="24"/>
          <w:szCs w:val="24"/>
          <w:lang w:eastAsia="en-IN"/>
        </w:rPr>
        <w:t>costume_jewelry</w:t>
      </w:r>
      <w:proofErr w:type="spellEnd"/>
      <w:r w:rsidRPr="00677B99">
        <w:rPr>
          <w:rFonts w:eastAsia="Times New Roman" w:cstheme="minorHAnsi"/>
          <w:sz w:val="24"/>
          <w:szCs w:val="24"/>
          <w:lang w:eastAsia="en-IN"/>
        </w:rPr>
        <w:t xml:space="preserve"> also rank high, reflecting appreciation in gifting or accessory segments.</w:t>
      </w:r>
    </w:p>
    <w:p w14:paraId="2B5A1D26" w14:textId="7EE6198E" w:rsidR="00677B99" w:rsidRPr="00456C9B" w:rsidRDefault="00677B99" w:rsidP="00677B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77B99">
        <w:rPr>
          <w:rFonts w:eastAsia="Times New Roman" w:cstheme="minorHAnsi"/>
          <w:b/>
          <w:bCs/>
          <w:sz w:val="24"/>
          <w:szCs w:val="24"/>
          <w:lang w:eastAsia="en-IN"/>
        </w:rPr>
        <w:t>Kitchenware &amp; Decor</w:t>
      </w:r>
      <w:r w:rsidRPr="00677B9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677B99">
        <w:rPr>
          <w:rFonts w:eastAsia="Times New Roman" w:cstheme="minorHAnsi"/>
          <w:sz w:val="24"/>
          <w:szCs w:val="24"/>
          <w:lang w:eastAsia="en-IN"/>
        </w:rPr>
        <w:t>la_cuisine</w:t>
      </w:r>
      <w:proofErr w:type="spellEnd"/>
      <w:r w:rsidRPr="00677B99">
        <w:rPr>
          <w:rFonts w:eastAsia="Times New Roman" w:cstheme="minorHAnsi"/>
          <w:sz w:val="24"/>
          <w:szCs w:val="24"/>
          <w:lang w:eastAsia="en-IN"/>
        </w:rPr>
        <w:t xml:space="preserve"> and construction tools round out the top 10, showing utility-based items also perform well when quality is ensured.</w:t>
      </w:r>
    </w:p>
    <w:p w14:paraId="669E5E5E" w14:textId="6041AA49" w:rsidR="00677B99" w:rsidRPr="00456C9B" w:rsidRDefault="00677B99" w:rsidP="00677B99">
      <w:pPr>
        <w:pStyle w:val="ListParagraph"/>
        <w:numPr>
          <w:ilvl w:val="1"/>
          <w:numId w:val="2"/>
        </w:numPr>
        <w:ind w:left="284" w:hanging="284"/>
        <w:rPr>
          <w:rFonts w:cstheme="minorHAnsi"/>
          <w:b/>
          <w:bCs/>
        </w:rPr>
      </w:pPr>
      <w:r w:rsidRPr="00456C9B">
        <w:rPr>
          <w:rFonts w:cstheme="minorHAnsi"/>
          <w:b/>
          <w:bCs/>
          <w:u w:val="single"/>
        </w:rPr>
        <w:t>Key insights: Bottom 10 categories</w:t>
      </w:r>
    </w:p>
    <w:p w14:paraId="520F8AE6" w14:textId="4BF8C3A5" w:rsidR="00677B99" w:rsidRPr="00456C9B" w:rsidRDefault="00677B99" w:rsidP="00677B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cstheme="minorHAnsi"/>
        </w:rPr>
        <w:t xml:space="preserve"> </w:t>
      </w: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Comfort &amp; Electronics Struggle: </w:t>
      </w:r>
      <w:r w:rsidRPr="00456C9B">
        <w:rPr>
          <w:rFonts w:eastAsia="Times New Roman" w:cstheme="minorHAnsi"/>
          <w:sz w:val="24"/>
          <w:szCs w:val="24"/>
          <w:lang w:eastAsia="en-IN"/>
        </w:rPr>
        <w:t xml:space="preserve">Categories such as </w:t>
      </w:r>
      <w:proofErr w:type="spellStart"/>
      <w:r w:rsidRPr="00456C9B">
        <w:rPr>
          <w:rFonts w:eastAsia="Times New Roman" w:cstheme="minorHAnsi"/>
          <w:sz w:val="24"/>
          <w:szCs w:val="24"/>
          <w:lang w:eastAsia="en-IN"/>
        </w:rPr>
        <w:t>home_comfort</w:t>
      </w:r>
      <w:proofErr w:type="spellEnd"/>
      <w:r w:rsidRPr="00456C9B">
        <w:rPr>
          <w:rFonts w:eastAsia="Times New Roman" w:cstheme="minorHAnsi"/>
          <w:sz w:val="24"/>
          <w:szCs w:val="24"/>
          <w:lang w:eastAsia="en-IN"/>
        </w:rPr>
        <w:t xml:space="preserve">, audio, and </w:t>
      </w:r>
      <w:proofErr w:type="spellStart"/>
      <w:r w:rsidRPr="00456C9B">
        <w:rPr>
          <w:rFonts w:eastAsia="Times New Roman" w:cstheme="minorHAnsi"/>
          <w:sz w:val="24"/>
          <w:szCs w:val="24"/>
          <w:lang w:eastAsia="en-IN"/>
        </w:rPr>
        <w:t>furniture_mattress</w:t>
      </w:r>
      <w:proofErr w:type="spellEnd"/>
      <w:r w:rsidRPr="00456C9B">
        <w:rPr>
          <w:rFonts w:eastAsia="Times New Roman" w:cstheme="minorHAnsi"/>
          <w:sz w:val="24"/>
          <w:szCs w:val="24"/>
          <w:lang w:eastAsia="en-IN"/>
        </w:rPr>
        <w:t xml:space="preserve"> receive lower ratings — these might suffer from quality, compatibility, or shipping damage issues.</w:t>
      </w:r>
    </w:p>
    <w:p w14:paraId="39507E1C" w14:textId="441B784B" w:rsidR="00677B99" w:rsidRPr="00456C9B" w:rsidRDefault="00677B99" w:rsidP="00677B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>Fashion (Men's &amp; Underwear):</w:t>
      </w:r>
      <w:r w:rsidRPr="00456C9B">
        <w:rPr>
          <w:rFonts w:eastAsia="Times New Roman" w:cstheme="minorHAnsi"/>
          <w:sz w:val="24"/>
          <w:szCs w:val="24"/>
          <w:lang w:eastAsia="en-IN"/>
        </w:rPr>
        <w:t xml:space="preserve"> Low-rated fashion segments could reflect sizing issues, material dissatisfaction, or unmet expectations.</w:t>
      </w:r>
    </w:p>
    <w:p w14:paraId="58DCE8A2" w14:textId="031326DD" w:rsidR="00677B99" w:rsidRPr="00456C9B" w:rsidRDefault="00677B99" w:rsidP="00677B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56C9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Safety &amp; Utility: </w:t>
      </w:r>
      <w:proofErr w:type="spellStart"/>
      <w:r w:rsidRPr="00456C9B">
        <w:rPr>
          <w:rFonts w:eastAsia="Times New Roman" w:cstheme="minorHAnsi"/>
          <w:sz w:val="24"/>
          <w:szCs w:val="24"/>
          <w:lang w:eastAsia="en-IN"/>
        </w:rPr>
        <w:t>Construction_tools_safety</w:t>
      </w:r>
      <w:proofErr w:type="spellEnd"/>
      <w:r w:rsidRPr="00456C9B">
        <w:rPr>
          <w:rFonts w:eastAsia="Times New Roman" w:cstheme="minorHAnsi"/>
          <w:sz w:val="24"/>
          <w:szCs w:val="24"/>
          <w:lang w:eastAsia="en-IN"/>
        </w:rPr>
        <w:t xml:space="preserve"> also performs poorly, potentially due to durability or compliance issues.</w:t>
      </w:r>
    </w:p>
    <w:p w14:paraId="2CD1495E" w14:textId="77777777" w:rsidR="00677B99" w:rsidRPr="00677B99" w:rsidRDefault="00677B99" w:rsidP="0067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525C7" w14:textId="77777777" w:rsidR="0079355C" w:rsidRPr="00DE1017" w:rsidRDefault="0079355C" w:rsidP="0079355C">
      <w:pPr>
        <w:spacing w:before="100" w:beforeAutospacing="1" w:after="100" w:afterAutospacing="1" w:line="240" w:lineRule="auto"/>
        <w:rPr>
          <w:b/>
          <w:bCs/>
          <w:u w:val="single"/>
        </w:rPr>
      </w:pPr>
    </w:p>
    <w:p w14:paraId="1E57673C" w14:textId="688C0FC2" w:rsidR="00467FB0" w:rsidRPr="005D6D69" w:rsidRDefault="00467FB0" w:rsidP="00467FB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567" w:hanging="426"/>
        <w:rPr>
          <w:rFonts w:eastAsia="Times New Roman" w:cstheme="minorHAnsi"/>
          <w:sz w:val="24"/>
          <w:szCs w:val="24"/>
          <w:lang w:eastAsia="en-IN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lastRenderedPageBreak/>
        <w:t>State wise Analysis</w:t>
      </w:r>
    </w:p>
    <w:p w14:paraId="1A202BA3" w14:textId="7C6473B1" w:rsidR="00467FB0" w:rsidRPr="005D6D69" w:rsidRDefault="00467FB0" w:rsidP="00467FB0">
      <w:pPr>
        <w:spacing w:before="100" w:beforeAutospacing="1" w:after="100" w:afterAutospacing="1" w:line="240" w:lineRule="auto"/>
        <w:ind w:left="141"/>
        <w:rPr>
          <w:rFonts w:cstheme="minorHAnsi"/>
          <w:noProof/>
          <w:sz w:val="24"/>
          <w:szCs w:val="24"/>
        </w:rPr>
      </w:pPr>
      <w:r w:rsidRPr="005D6D69">
        <w:rPr>
          <w:rFonts w:cstheme="minorHAnsi"/>
          <w:noProof/>
          <w:sz w:val="24"/>
          <w:szCs w:val="24"/>
        </w:rPr>
        <w:t xml:space="preserve"> </w:t>
      </w:r>
      <w:r w:rsidRPr="005D6D69">
        <w:rPr>
          <w:rFonts w:cstheme="minorHAnsi"/>
          <w:noProof/>
          <w:sz w:val="24"/>
          <w:szCs w:val="24"/>
        </w:rPr>
        <w:drawing>
          <wp:inline distT="0" distB="0" distL="0" distR="0" wp14:anchorId="386DBFF5" wp14:editId="3B5D1110">
            <wp:extent cx="4038600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820" cy="21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482F" w14:textId="77777777" w:rsidR="00BC7852" w:rsidRPr="005D6D69" w:rsidRDefault="00BC7852" w:rsidP="00467FB0">
      <w:pPr>
        <w:spacing w:before="100" w:beforeAutospacing="1" w:after="100" w:afterAutospacing="1" w:line="240" w:lineRule="auto"/>
        <w:ind w:left="141"/>
        <w:rPr>
          <w:rFonts w:eastAsia="Times New Roman" w:cstheme="minorHAnsi"/>
          <w:sz w:val="24"/>
          <w:szCs w:val="24"/>
          <w:lang w:eastAsia="en-IN"/>
        </w:rPr>
      </w:pPr>
    </w:p>
    <w:p w14:paraId="5F36C097" w14:textId="77777777" w:rsidR="00467FB0" w:rsidRPr="005D6D69" w:rsidRDefault="00467FB0" w:rsidP="00467FB0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>Visualization Summary:</w:t>
      </w:r>
    </w:p>
    <w:p w14:paraId="2826E597" w14:textId="52B6F82B" w:rsidR="00467FB0" w:rsidRPr="005D6D69" w:rsidRDefault="00467FB0" w:rsidP="00467FB0">
      <w:pPr>
        <w:pStyle w:val="NormalWeb"/>
        <w:numPr>
          <w:ilvl w:val="0"/>
          <w:numId w:val="2"/>
        </w:numPr>
        <w:ind w:hanging="76"/>
        <w:rPr>
          <w:rFonts w:asciiTheme="minorHAnsi" w:hAnsiTheme="minorHAnsi" w:cstheme="minorHAnsi"/>
        </w:rPr>
      </w:pPr>
      <w:r w:rsidRPr="005D6D69">
        <w:rPr>
          <w:rStyle w:val="Strong"/>
          <w:rFonts w:asciiTheme="minorHAnsi" w:hAnsiTheme="minorHAnsi" w:cstheme="minorHAnsi"/>
        </w:rPr>
        <w:t>Type:</w:t>
      </w:r>
      <w:r w:rsidRPr="005D6D69">
        <w:rPr>
          <w:rFonts w:asciiTheme="minorHAnsi" w:hAnsiTheme="minorHAnsi" w:cstheme="minorHAnsi"/>
        </w:rPr>
        <w:t xml:space="preserve"> Donut Pie Chart</w:t>
      </w:r>
    </w:p>
    <w:p w14:paraId="77429703" w14:textId="0BE55D36" w:rsidR="00467FB0" w:rsidRPr="005D6D69" w:rsidRDefault="00467FB0" w:rsidP="00467FB0">
      <w:pPr>
        <w:pStyle w:val="NormalWeb"/>
        <w:numPr>
          <w:ilvl w:val="0"/>
          <w:numId w:val="2"/>
        </w:numPr>
        <w:ind w:hanging="76"/>
        <w:rPr>
          <w:rFonts w:asciiTheme="minorHAnsi" w:hAnsiTheme="minorHAnsi" w:cstheme="minorHAnsi"/>
        </w:rPr>
      </w:pPr>
      <w:r w:rsidRPr="005D6D69">
        <w:rPr>
          <w:rStyle w:val="Strong"/>
          <w:rFonts w:asciiTheme="minorHAnsi" w:hAnsiTheme="minorHAnsi" w:cstheme="minorHAnsi"/>
        </w:rPr>
        <w:t>Metric:</w:t>
      </w:r>
      <w:r w:rsidRPr="005D6D69">
        <w:rPr>
          <w:rFonts w:asciiTheme="minorHAnsi" w:hAnsiTheme="minorHAnsi" w:cstheme="minorHAnsi"/>
        </w:rPr>
        <w:t xml:space="preserve"> Total Sales (in Millions)</w:t>
      </w:r>
    </w:p>
    <w:p w14:paraId="2DB3971E" w14:textId="39FC31F6" w:rsidR="00467FB0" w:rsidRPr="005D6D69" w:rsidRDefault="00467FB0" w:rsidP="00467FB0">
      <w:pPr>
        <w:pStyle w:val="NormalWeb"/>
        <w:numPr>
          <w:ilvl w:val="0"/>
          <w:numId w:val="2"/>
        </w:numPr>
        <w:ind w:left="284" w:firstLine="0"/>
        <w:rPr>
          <w:rStyle w:val="HTMLCode"/>
          <w:rFonts w:asciiTheme="minorHAnsi" w:hAnsiTheme="minorHAnsi" w:cstheme="minorHAnsi"/>
          <w:sz w:val="24"/>
          <w:szCs w:val="24"/>
        </w:rPr>
      </w:pPr>
      <w:r w:rsidRPr="005D6D69">
        <w:rPr>
          <w:rStyle w:val="Strong"/>
          <w:rFonts w:asciiTheme="minorHAnsi" w:hAnsiTheme="minorHAnsi" w:cstheme="minorHAnsi"/>
        </w:rPr>
        <w:t>Breakdown by:</w:t>
      </w:r>
      <w:r w:rsidRPr="005D6D69">
        <w:rPr>
          <w:rFonts w:asciiTheme="minorHAnsi" w:hAnsiTheme="minorHAnsi" w:cstheme="minorHAnsi"/>
        </w:rPr>
        <w:t xml:space="preserve"> </w:t>
      </w:r>
      <w:proofErr w:type="spellStart"/>
      <w:r w:rsidRPr="005D6D69">
        <w:rPr>
          <w:rStyle w:val="HTMLCode"/>
          <w:rFonts w:asciiTheme="minorHAnsi" w:hAnsiTheme="minorHAnsi" w:cstheme="minorHAnsi"/>
          <w:sz w:val="24"/>
          <w:szCs w:val="24"/>
        </w:rPr>
        <w:t>Seller_State</w:t>
      </w:r>
      <w:proofErr w:type="spellEnd"/>
    </w:p>
    <w:p w14:paraId="50B045EC" w14:textId="77777777" w:rsidR="00BC7852" w:rsidRPr="005D6D69" w:rsidRDefault="00BC7852" w:rsidP="00467FB0">
      <w:pPr>
        <w:pStyle w:val="NormalWeb"/>
        <w:ind w:left="284"/>
        <w:rPr>
          <w:rFonts w:asciiTheme="minorHAnsi" w:hAnsiTheme="minorHAnsi" w:cstheme="minorHAnsi"/>
        </w:rPr>
      </w:pPr>
    </w:p>
    <w:p w14:paraId="3BC6A729" w14:textId="7DE4D95B" w:rsidR="00BC7852" w:rsidRPr="005D6D69" w:rsidRDefault="00467FB0" w:rsidP="00BC7852">
      <w:pPr>
        <w:pStyle w:val="ListParagraph"/>
        <w:numPr>
          <w:ilvl w:val="1"/>
          <w:numId w:val="2"/>
        </w:numPr>
        <w:ind w:left="426" w:hanging="142"/>
        <w:rPr>
          <w:rFonts w:cstheme="minorHAnsi"/>
          <w:b/>
          <w:bCs/>
          <w:sz w:val="24"/>
          <w:szCs w:val="24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>Key insights: Top 10 categories</w:t>
      </w:r>
    </w:p>
    <w:p w14:paraId="4F736946" w14:textId="77777777" w:rsidR="00BC7852" w:rsidRPr="005D6D69" w:rsidRDefault="00BC7852" w:rsidP="00BC7852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51B28833" w14:textId="1B8AED84" w:rsidR="00BC7852" w:rsidRPr="005D6D69" w:rsidRDefault="00BC7852" w:rsidP="00BC7852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  <w:r w:rsidRPr="005D6D69">
        <w:rPr>
          <w:rFonts w:eastAsia="Times New Roman" w:cstheme="minorHAnsi"/>
          <w:sz w:val="24"/>
          <w:szCs w:val="24"/>
          <w:lang w:eastAsia="en-IN"/>
        </w:rPr>
        <w:t xml:space="preserve">a) </w:t>
      </w:r>
      <w:r w:rsidRPr="005D6D6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Highly Centralized Sales Distribution:</w:t>
      </w:r>
    </w:p>
    <w:p w14:paraId="491FF2A8" w14:textId="77777777" w:rsidR="00BC7852" w:rsidRPr="00BC7852" w:rsidRDefault="00BC7852" w:rsidP="00BC7852">
      <w:pPr>
        <w:numPr>
          <w:ilvl w:val="0"/>
          <w:numId w:val="19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BC7852">
        <w:rPr>
          <w:rFonts w:eastAsia="Times New Roman" w:cstheme="minorHAnsi"/>
          <w:sz w:val="24"/>
          <w:szCs w:val="24"/>
          <w:lang w:eastAsia="en-IN"/>
        </w:rPr>
        <w:t>A single state contributes over 60% of the total sales, indicating a strong regional concentration of sellers and/or buyers.</w:t>
      </w:r>
    </w:p>
    <w:p w14:paraId="7D91EF5E" w14:textId="77777777" w:rsidR="00BC7852" w:rsidRPr="005D6D69" w:rsidRDefault="00BC7852" w:rsidP="00BC7852">
      <w:pPr>
        <w:numPr>
          <w:ilvl w:val="0"/>
          <w:numId w:val="19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BC7852">
        <w:rPr>
          <w:rFonts w:eastAsia="Times New Roman" w:cstheme="minorHAnsi"/>
          <w:sz w:val="24"/>
          <w:szCs w:val="24"/>
          <w:lang w:eastAsia="en-IN"/>
        </w:rPr>
        <w:t>This dominance creates dependency risk on one geographic zone for revenue flow.</w:t>
      </w:r>
    </w:p>
    <w:p w14:paraId="2831A8C0" w14:textId="2EC603F1" w:rsidR="00BC7852" w:rsidRPr="00BC7852" w:rsidRDefault="00BC7852" w:rsidP="00BC7852">
      <w:pPr>
        <w:spacing w:before="100" w:beforeAutospacing="1" w:after="100" w:afterAutospacing="1" w:line="240" w:lineRule="auto"/>
        <w:ind w:left="426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5D6D69">
        <w:rPr>
          <w:rFonts w:eastAsia="Times New Roman" w:cstheme="minorHAnsi"/>
          <w:sz w:val="24"/>
          <w:szCs w:val="24"/>
          <w:lang w:eastAsia="en-IN"/>
        </w:rPr>
        <w:t xml:space="preserve">b) </w:t>
      </w:r>
      <w:r w:rsidRPr="00BC785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Mid-tier Regional Support:</w:t>
      </w:r>
    </w:p>
    <w:p w14:paraId="14238CB1" w14:textId="77777777" w:rsidR="00BC7852" w:rsidRPr="00BC7852" w:rsidRDefault="00BC7852" w:rsidP="00BC7852">
      <w:pPr>
        <w:numPr>
          <w:ilvl w:val="0"/>
          <w:numId w:val="20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BC7852">
        <w:rPr>
          <w:rFonts w:eastAsia="Times New Roman" w:cstheme="minorHAnsi"/>
          <w:sz w:val="24"/>
          <w:szCs w:val="24"/>
          <w:lang w:eastAsia="en-IN"/>
        </w:rPr>
        <w:t>A few other states contribute between 7% to 9% each, acting as important secondary markets.</w:t>
      </w:r>
    </w:p>
    <w:p w14:paraId="7A88ED5C" w14:textId="77777777" w:rsidR="00BC7852" w:rsidRPr="005D6D69" w:rsidRDefault="00BC7852" w:rsidP="00BC7852">
      <w:pPr>
        <w:numPr>
          <w:ilvl w:val="0"/>
          <w:numId w:val="20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BC7852">
        <w:rPr>
          <w:rFonts w:eastAsia="Times New Roman" w:cstheme="minorHAnsi"/>
          <w:sz w:val="24"/>
          <w:szCs w:val="24"/>
          <w:lang w:eastAsia="en-IN"/>
        </w:rPr>
        <w:t>These regions present good opportunities for scalable growth and diversification.</w:t>
      </w:r>
    </w:p>
    <w:p w14:paraId="50781EAF" w14:textId="28A5C525" w:rsidR="00BC7852" w:rsidRPr="00BC7852" w:rsidRDefault="00BC7852" w:rsidP="00BC7852">
      <w:pPr>
        <w:spacing w:before="100" w:beforeAutospacing="1" w:after="100" w:afterAutospacing="1" w:line="240" w:lineRule="auto"/>
        <w:ind w:left="720" w:hanging="294"/>
        <w:rPr>
          <w:rFonts w:eastAsia="Times New Roman" w:cstheme="minorHAnsi"/>
          <w:sz w:val="24"/>
          <w:szCs w:val="24"/>
          <w:lang w:eastAsia="en-IN"/>
        </w:rPr>
      </w:pPr>
      <w:r w:rsidRPr="005D6D69">
        <w:rPr>
          <w:rFonts w:eastAsia="Times New Roman" w:cstheme="minorHAnsi"/>
          <w:sz w:val="24"/>
          <w:szCs w:val="24"/>
          <w:lang w:eastAsia="en-IN"/>
        </w:rPr>
        <w:t xml:space="preserve">c) </w:t>
      </w:r>
      <w:r w:rsidRPr="00BC785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Underutilized Markets:</w:t>
      </w:r>
    </w:p>
    <w:p w14:paraId="2B3E00C2" w14:textId="77777777" w:rsidR="00BC7852" w:rsidRPr="00BC7852" w:rsidRDefault="00BC7852" w:rsidP="00BC7852">
      <w:pPr>
        <w:numPr>
          <w:ilvl w:val="0"/>
          <w:numId w:val="2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rPr>
          <w:rFonts w:eastAsia="Times New Roman" w:cstheme="minorHAnsi"/>
          <w:sz w:val="24"/>
          <w:szCs w:val="24"/>
          <w:lang w:eastAsia="en-IN"/>
        </w:rPr>
      </w:pPr>
      <w:r w:rsidRPr="00BC7852">
        <w:rPr>
          <w:rFonts w:eastAsia="Times New Roman" w:cstheme="minorHAnsi"/>
          <w:sz w:val="24"/>
          <w:szCs w:val="24"/>
          <w:lang w:eastAsia="en-IN"/>
        </w:rPr>
        <w:t xml:space="preserve">Several states contribute less than 3% each, </w:t>
      </w:r>
      <w:proofErr w:type="spellStart"/>
      <w:r w:rsidRPr="00BC7852">
        <w:rPr>
          <w:rFonts w:eastAsia="Times New Roman" w:cstheme="minorHAnsi"/>
          <w:sz w:val="24"/>
          <w:szCs w:val="24"/>
          <w:lang w:eastAsia="en-IN"/>
        </w:rPr>
        <w:t>signaling</w:t>
      </w:r>
      <w:proofErr w:type="spellEnd"/>
      <w:r w:rsidRPr="00BC7852">
        <w:rPr>
          <w:rFonts w:eastAsia="Times New Roman" w:cstheme="minorHAnsi"/>
          <w:sz w:val="24"/>
          <w:szCs w:val="24"/>
          <w:lang w:eastAsia="en-IN"/>
        </w:rPr>
        <w:t xml:space="preserve"> potential for market development, seller onboarding, or customer acquisition strategies.</w:t>
      </w:r>
    </w:p>
    <w:p w14:paraId="04AFDC82" w14:textId="77777777" w:rsidR="00BC7852" w:rsidRPr="00BC7852" w:rsidRDefault="00BC7852" w:rsidP="00BC7852">
      <w:pPr>
        <w:numPr>
          <w:ilvl w:val="0"/>
          <w:numId w:val="2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852">
        <w:rPr>
          <w:rFonts w:eastAsia="Times New Roman" w:cstheme="minorHAnsi"/>
          <w:sz w:val="24"/>
          <w:szCs w:val="24"/>
          <w:lang w:eastAsia="en-IN"/>
        </w:rPr>
        <w:t>These regions are low-risk testing grounds for new marketing tactics or pilot operations.</w:t>
      </w:r>
    </w:p>
    <w:p w14:paraId="629F3D5C" w14:textId="77777777" w:rsidR="00DE1017" w:rsidRDefault="00DE1017" w:rsidP="00DE1017">
      <w:pPr>
        <w:ind w:left="360"/>
      </w:pPr>
    </w:p>
    <w:p w14:paraId="6DB4CD97" w14:textId="77777777" w:rsidR="00DE1017" w:rsidRDefault="00DE1017" w:rsidP="00DE1017">
      <w:pPr>
        <w:ind w:left="360"/>
      </w:pPr>
    </w:p>
    <w:p w14:paraId="2E454453" w14:textId="3F55A02F" w:rsidR="00BC7852" w:rsidRPr="00F00E0D" w:rsidRDefault="00BC7852" w:rsidP="00BC785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567" w:hanging="426"/>
        <w:rPr>
          <w:rFonts w:eastAsia="Times New Roman" w:cstheme="minorHAnsi"/>
          <w:sz w:val="28"/>
          <w:szCs w:val="28"/>
          <w:lang w:eastAsia="en-IN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lastRenderedPageBreak/>
        <w:t>Seasonal Sales Pattern (Yearly and Quarterly as well)</w:t>
      </w:r>
    </w:p>
    <w:p w14:paraId="52EEF21B" w14:textId="40B155FB" w:rsidR="00097F07" w:rsidRPr="00F00E0D" w:rsidRDefault="00097F07" w:rsidP="00097F07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8"/>
          <w:szCs w:val="28"/>
          <w:u w:val="single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t>2016</w:t>
      </w:r>
    </w:p>
    <w:p w14:paraId="6E3C5480" w14:textId="1FD5799B" w:rsidR="00097F07" w:rsidRDefault="00097F07" w:rsidP="00097F07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4"/>
          <w:szCs w:val="24"/>
          <w:u w:val="single"/>
        </w:rPr>
      </w:pPr>
    </w:p>
    <w:p w14:paraId="7A4D2FA5" w14:textId="77777777" w:rsidR="005D6D69" w:rsidRPr="005D6D69" w:rsidRDefault="005D6D69" w:rsidP="00097F07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4"/>
          <w:szCs w:val="24"/>
          <w:u w:val="single"/>
        </w:rPr>
      </w:pPr>
    </w:p>
    <w:p w14:paraId="325AF7D9" w14:textId="6B9E67FB" w:rsidR="00BC7852" w:rsidRPr="005D6D69" w:rsidRDefault="00097F07" w:rsidP="005D6D69">
      <w:pPr>
        <w:pStyle w:val="ListParagraph"/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 w:rsidRPr="005D6D6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49A261E" wp14:editId="70994AFD">
            <wp:extent cx="2525969" cy="135826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305" cy="13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69"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5D6D6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617E8762" wp14:editId="67096752">
            <wp:extent cx="2590799" cy="136525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375" cy="13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58C" w14:textId="77777777" w:rsidR="00BC7852" w:rsidRPr="005D6D69" w:rsidRDefault="00BC7852" w:rsidP="00BC7852">
      <w:pPr>
        <w:spacing w:before="100" w:beforeAutospacing="1" w:after="100" w:afterAutospacing="1" w:line="240" w:lineRule="auto"/>
        <w:ind w:left="141"/>
        <w:rPr>
          <w:rFonts w:eastAsia="Times New Roman" w:cstheme="minorHAnsi"/>
          <w:sz w:val="24"/>
          <w:szCs w:val="24"/>
          <w:lang w:eastAsia="en-IN"/>
        </w:rPr>
      </w:pPr>
    </w:p>
    <w:p w14:paraId="3E0232D3" w14:textId="7632EF1C" w:rsidR="00BC7852" w:rsidRPr="005D6D69" w:rsidRDefault="00BC7852" w:rsidP="00097F07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>Visualization Summary:</w:t>
      </w:r>
    </w:p>
    <w:tbl>
      <w:tblPr>
        <w:tblpPr w:leftFromText="180" w:rightFromText="180" w:vertAnchor="text" w:horzAnchor="page" w:tblpX="2501" w:tblpY="135"/>
        <w:tblW w:w="50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213"/>
        <w:gridCol w:w="2593"/>
        <w:gridCol w:w="115"/>
      </w:tblGrid>
      <w:tr w:rsidR="005D6D69" w:rsidRPr="005D6D69" w14:paraId="6F7B70C2" w14:textId="77777777" w:rsidTr="009E7A83">
        <w:trPr>
          <w:trHeight w:val="50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23FD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Quarter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8072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Sales (K)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A5F99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% </w:t>
            </w:r>
            <w:proofErr w:type="gramStart"/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Total Revenue</w:t>
            </w:r>
          </w:p>
        </w:tc>
        <w:tc>
          <w:tcPr>
            <w:tcW w:w="70" w:type="dxa"/>
            <w:vAlign w:val="center"/>
            <w:hideMark/>
          </w:tcPr>
          <w:p w14:paraId="3B921D51" w14:textId="77777777" w:rsidR="009E7A83" w:rsidRPr="00097F07" w:rsidRDefault="009E7A83" w:rsidP="009E7A8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5D6D69" w:rsidRPr="005D6D69" w14:paraId="1679C9C7" w14:textId="77777777" w:rsidTr="009E7A83">
        <w:trPr>
          <w:trHeight w:val="5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B57D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5B7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0.35K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F0AE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0.61%</w:t>
            </w:r>
          </w:p>
        </w:tc>
        <w:tc>
          <w:tcPr>
            <w:tcW w:w="70" w:type="dxa"/>
            <w:vAlign w:val="center"/>
            <w:hideMark/>
          </w:tcPr>
          <w:p w14:paraId="21AA1F26" w14:textId="77777777" w:rsidR="009E7A83" w:rsidRPr="00097F07" w:rsidRDefault="009E7A83" w:rsidP="009E7A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5D6D69" w:rsidRPr="005D6D69" w14:paraId="171072D8" w14:textId="77777777" w:rsidTr="009E7A83">
        <w:trPr>
          <w:trHeight w:val="50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8A05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BA88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56.83K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CFA5" w14:textId="77777777" w:rsidR="009E7A83" w:rsidRPr="00097F07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99.39%</w:t>
            </w:r>
          </w:p>
        </w:tc>
        <w:tc>
          <w:tcPr>
            <w:tcW w:w="70" w:type="dxa"/>
            <w:vAlign w:val="center"/>
            <w:hideMark/>
          </w:tcPr>
          <w:p w14:paraId="6C33B76B" w14:textId="77777777" w:rsidR="009E7A83" w:rsidRPr="00097F07" w:rsidRDefault="009E7A83" w:rsidP="009E7A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B0BFC3C" w14:textId="77777777" w:rsidR="00097F07" w:rsidRPr="005D6D69" w:rsidRDefault="00097F07" w:rsidP="00097F07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7564A962" w14:textId="21A349ED" w:rsidR="00BC7852" w:rsidRPr="005D6D69" w:rsidRDefault="00BC7852" w:rsidP="00BC7852">
      <w:pPr>
        <w:pStyle w:val="NormalWeb"/>
        <w:ind w:left="284"/>
        <w:rPr>
          <w:rFonts w:asciiTheme="minorHAnsi" w:hAnsiTheme="minorHAnsi" w:cstheme="minorHAnsi"/>
        </w:rPr>
      </w:pPr>
    </w:p>
    <w:p w14:paraId="1057D574" w14:textId="14A47A24" w:rsidR="009E7A83" w:rsidRPr="005D6D69" w:rsidRDefault="009E7A83" w:rsidP="00BC7852">
      <w:pPr>
        <w:pStyle w:val="NormalWeb"/>
        <w:ind w:left="284"/>
        <w:rPr>
          <w:rFonts w:asciiTheme="minorHAnsi" w:hAnsiTheme="minorHAnsi" w:cstheme="minorHAnsi"/>
        </w:rPr>
      </w:pPr>
    </w:p>
    <w:p w14:paraId="014BB638" w14:textId="37080132" w:rsidR="009E7A83" w:rsidRDefault="009E7A83" w:rsidP="009E7A83">
      <w:pPr>
        <w:pStyle w:val="NormalWeb"/>
        <w:rPr>
          <w:rFonts w:asciiTheme="minorHAnsi" w:hAnsiTheme="minorHAnsi" w:cstheme="minorHAnsi"/>
        </w:rPr>
      </w:pPr>
    </w:p>
    <w:p w14:paraId="49229C20" w14:textId="77777777" w:rsidR="005D6D69" w:rsidRPr="005D6D69" w:rsidRDefault="005D6D69" w:rsidP="009E7A83">
      <w:pPr>
        <w:pStyle w:val="NormalWeb"/>
        <w:rPr>
          <w:rFonts w:asciiTheme="minorHAnsi" w:hAnsiTheme="minorHAnsi" w:cstheme="minorHAnsi"/>
        </w:rPr>
      </w:pPr>
    </w:p>
    <w:p w14:paraId="2F779F37" w14:textId="77777777" w:rsidR="009E7A83" w:rsidRPr="005D6D69" w:rsidRDefault="00BC7852" w:rsidP="009E7A83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 xml:space="preserve">Key insights: </w:t>
      </w:r>
    </w:p>
    <w:p w14:paraId="23471BD7" w14:textId="6DAE95F9" w:rsidR="009E7A83" w:rsidRPr="005D6D69" w:rsidRDefault="009E7A83" w:rsidP="009E7A83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u w:val="single"/>
        </w:rPr>
      </w:pPr>
      <w:r w:rsidRPr="005D6D69">
        <w:rPr>
          <w:rFonts w:asciiTheme="minorHAnsi" w:hAnsiTheme="minorHAnsi" w:cstheme="minorHAnsi"/>
          <w:b/>
          <w:bCs/>
          <w:u w:val="single"/>
        </w:rPr>
        <w:t>Q4 Dominance</w:t>
      </w:r>
      <w:r w:rsidRPr="005D6D69">
        <w:rPr>
          <w:rFonts w:asciiTheme="minorHAnsi" w:hAnsiTheme="minorHAnsi" w:cstheme="minorHAnsi"/>
          <w:u w:val="single"/>
        </w:rPr>
        <w:t>:</w:t>
      </w:r>
    </w:p>
    <w:p w14:paraId="7A03D15B" w14:textId="77777777" w:rsidR="009E7A83" w:rsidRPr="009E7A83" w:rsidRDefault="009E7A83" w:rsidP="009E7A83">
      <w:pPr>
        <w:numPr>
          <w:ilvl w:val="0"/>
          <w:numId w:val="2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41"/>
        <w:rPr>
          <w:rFonts w:eastAsia="Times New Roman" w:cstheme="minorHAnsi"/>
          <w:sz w:val="24"/>
          <w:szCs w:val="24"/>
          <w:lang w:eastAsia="en-IN"/>
        </w:rPr>
      </w:pPr>
      <w:r w:rsidRPr="009E7A83">
        <w:rPr>
          <w:rFonts w:eastAsia="Times New Roman" w:cstheme="minorHAnsi"/>
          <w:sz w:val="24"/>
          <w:szCs w:val="24"/>
          <w:lang w:eastAsia="en-IN"/>
        </w:rPr>
        <w:t>Nearly all revenue (99.39%) was generated in Quarter 4.</w:t>
      </w:r>
    </w:p>
    <w:p w14:paraId="7F83907B" w14:textId="77777777" w:rsidR="009E7A83" w:rsidRPr="009E7A83" w:rsidRDefault="009E7A83" w:rsidP="009E7A83">
      <w:pPr>
        <w:numPr>
          <w:ilvl w:val="0"/>
          <w:numId w:val="2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41"/>
        <w:rPr>
          <w:rFonts w:eastAsia="Times New Roman" w:cstheme="minorHAnsi"/>
          <w:sz w:val="24"/>
          <w:szCs w:val="24"/>
          <w:lang w:eastAsia="en-IN"/>
        </w:rPr>
      </w:pPr>
      <w:r w:rsidRPr="009E7A83">
        <w:rPr>
          <w:rFonts w:eastAsia="Times New Roman" w:cstheme="minorHAnsi"/>
          <w:sz w:val="24"/>
          <w:szCs w:val="24"/>
          <w:lang w:eastAsia="en-IN"/>
        </w:rPr>
        <w:t>This indicates a highly seasonal business model, with the bulk of activity in the last quarter.</w:t>
      </w:r>
    </w:p>
    <w:p w14:paraId="754ACBC5" w14:textId="393C6849" w:rsidR="009E7A83" w:rsidRPr="005D6D69" w:rsidRDefault="009E7A83" w:rsidP="009E7A8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5D6D6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Negligible Q3 Contribution</w:t>
      </w:r>
      <w:r w:rsidRPr="005D6D69">
        <w:rPr>
          <w:rFonts w:eastAsia="Times New Roman" w:cstheme="minorHAnsi"/>
          <w:sz w:val="24"/>
          <w:szCs w:val="24"/>
          <w:u w:val="single"/>
          <w:lang w:eastAsia="en-IN"/>
        </w:rPr>
        <w:t>:</w:t>
      </w:r>
    </w:p>
    <w:p w14:paraId="517845F8" w14:textId="77777777" w:rsidR="009E7A83" w:rsidRPr="009E7A83" w:rsidRDefault="009E7A83" w:rsidP="009E7A83">
      <w:pPr>
        <w:numPr>
          <w:ilvl w:val="0"/>
          <w:numId w:val="23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41"/>
        <w:rPr>
          <w:rFonts w:eastAsia="Times New Roman" w:cstheme="minorHAnsi"/>
          <w:sz w:val="24"/>
          <w:szCs w:val="24"/>
          <w:lang w:eastAsia="en-IN"/>
        </w:rPr>
      </w:pPr>
      <w:r w:rsidRPr="009E7A83">
        <w:rPr>
          <w:rFonts w:eastAsia="Times New Roman" w:cstheme="minorHAnsi"/>
          <w:sz w:val="24"/>
          <w:szCs w:val="24"/>
          <w:lang w:eastAsia="en-IN"/>
        </w:rPr>
        <w:t>Only 0.35K in Q3, accounting for just 0.61% of annual revenue.</w:t>
      </w:r>
    </w:p>
    <w:p w14:paraId="385542C3" w14:textId="4B735006" w:rsidR="00BC7852" w:rsidRPr="005D6D69" w:rsidRDefault="009E7A83" w:rsidP="009E7A83">
      <w:pPr>
        <w:numPr>
          <w:ilvl w:val="0"/>
          <w:numId w:val="23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 w:hanging="141"/>
        <w:rPr>
          <w:rFonts w:eastAsia="Times New Roman" w:cstheme="minorHAnsi"/>
          <w:sz w:val="24"/>
          <w:szCs w:val="24"/>
          <w:lang w:eastAsia="en-IN"/>
        </w:rPr>
      </w:pPr>
      <w:r w:rsidRPr="009E7A83">
        <w:rPr>
          <w:rFonts w:eastAsia="Times New Roman" w:cstheme="minorHAnsi"/>
          <w:sz w:val="24"/>
          <w:szCs w:val="24"/>
          <w:lang w:eastAsia="en-IN"/>
        </w:rPr>
        <w:t>Suggests limited operations, demand, or product readiness during this period.</w:t>
      </w:r>
    </w:p>
    <w:p w14:paraId="50CA537E" w14:textId="223D152C" w:rsidR="00DE1017" w:rsidRDefault="00DE1017" w:rsidP="00DE1017">
      <w:pPr>
        <w:ind w:left="360"/>
      </w:pPr>
    </w:p>
    <w:p w14:paraId="1C620018" w14:textId="76AA5AA7" w:rsidR="00BC7852" w:rsidRDefault="00BC7852" w:rsidP="00DE1017">
      <w:pPr>
        <w:ind w:left="360"/>
      </w:pPr>
    </w:p>
    <w:p w14:paraId="0064B2E1" w14:textId="322F1F1B" w:rsidR="00BC7852" w:rsidRDefault="00BC7852" w:rsidP="00DE1017">
      <w:pPr>
        <w:ind w:left="360"/>
      </w:pPr>
    </w:p>
    <w:p w14:paraId="54C91F95" w14:textId="42CD7803" w:rsidR="00BC7852" w:rsidRDefault="00BC7852" w:rsidP="00DE1017">
      <w:pPr>
        <w:ind w:left="360"/>
      </w:pPr>
    </w:p>
    <w:p w14:paraId="5F81DF9B" w14:textId="6D14DBA0" w:rsidR="00BC7852" w:rsidRDefault="00BC7852" w:rsidP="00DE1017">
      <w:pPr>
        <w:ind w:left="360"/>
      </w:pPr>
    </w:p>
    <w:p w14:paraId="543A8A3A" w14:textId="64D5ABB5" w:rsidR="009E7A83" w:rsidRDefault="009E7A83" w:rsidP="00DE1017">
      <w:pPr>
        <w:ind w:left="360"/>
      </w:pPr>
    </w:p>
    <w:p w14:paraId="6CB1B690" w14:textId="77777777" w:rsidR="009E7A83" w:rsidRPr="00F00E0D" w:rsidRDefault="009E7A83" w:rsidP="009E7A8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567" w:hanging="426"/>
        <w:rPr>
          <w:rFonts w:eastAsia="Times New Roman" w:cstheme="minorHAnsi"/>
          <w:sz w:val="28"/>
          <w:szCs w:val="28"/>
          <w:lang w:eastAsia="en-IN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lastRenderedPageBreak/>
        <w:t>Seasonal Sales Pattern (Yearly and Quarterly as well)</w:t>
      </w:r>
    </w:p>
    <w:p w14:paraId="78B5A0FA" w14:textId="2A5B1018" w:rsidR="009E7A83" w:rsidRPr="00F00E0D" w:rsidRDefault="009E7A83" w:rsidP="009E7A83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8"/>
          <w:szCs w:val="28"/>
          <w:u w:val="single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t>2017</w:t>
      </w:r>
    </w:p>
    <w:p w14:paraId="6AEDA1F6" w14:textId="77777777" w:rsidR="009E7A83" w:rsidRPr="005D6D69" w:rsidRDefault="009E7A83" w:rsidP="009E7A83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4"/>
          <w:szCs w:val="24"/>
          <w:u w:val="single"/>
        </w:rPr>
      </w:pPr>
    </w:p>
    <w:p w14:paraId="396B400C" w14:textId="7D775FBA" w:rsidR="009E7A83" w:rsidRPr="005D6D69" w:rsidRDefault="009E7A83" w:rsidP="009E7A83">
      <w:pPr>
        <w:pStyle w:val="ListParagraph"/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 w:rsidRPr="005D6D6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DA134F4" wp14:editId="7468CF54">
            <wp:extent cx="2514600" cy="1320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230" cy="13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69"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5D6D6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67A05B5A" wp14:editId="0DDD8468">
            <wp:extent cx="2597283" cy="13399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E616" w14:textId="4DDCF52D" w:rsidR="009E7A83" w:rsidRPr="005D6D69" w:rsidRDefault="009E7A83" w:rsidP="009E7A83">
      <w:pPr>
        <w:spacing w:before="100" w:beforeAutospacing="1" w:after="100" w:afterAutospacing="1" w:line="240" w:lineRule="auto"/>
        <w:rPr>
          <w:rFonts w:cstheme="minorHAnsi"/>
          <w:noProof/>
          <w:sz w:val="24"/>
          <w:szCs w:val="24"/>
        </w:rPr>
      </w:pPr>
    </w:p>
    <w:p w14:paraId="311D9290" w14:textId="77777777" w:rsidR="009E7A83" w:rsidRPr="005D6D69" w:rsidRDefault="009E7A83" w:rsidP="009E7A83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>Visualization Summary:</w:t>
      </w:r>
    </w:p>
    <w:tbl>
      <w:tblPr>
        <w:tblpPr w:leftFromText="180" w:rightFromText="180" w:vertAnchor="text" w:horzAnchor="page" w:tblpX="2501" w:tblpY="135"/>
        <w:tblW w:w="50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260"/>
        <w:gridCol w:w="2593"/>
        <w:gridCol w:w="115"/>
      </w:tblGrid>
      <w:tr w:rsidR="001F67C6" w:rsidRPr="005D6D69" w14:paraId="6455D2CF" w14:textId="77777777" w:rsidTr="00C24A5B">
        <w:trPr>
          <w:trHeight w:val="50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7D78" w14:textId="77777777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Quarter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58A8" w14:textId="07B52A11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Sales (</w:t>
            </w:r>
            <w:r w:rsidR="001F67C6" w:rsidRPr="005D6D6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</w:t>
            </w: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0CBB" w14:textId="77777777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% </w:t>
            </w:r>
            <w:proofErr w:type="gramStart"/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Total Revenue</w:t>
            </w:r>
          </w:p>
        </w:tc>
        <w:tc>
          <w:tcPr>
            <w:tcW w:w="70" w:type="dxa"/>
            <w:vAlign w:val="center"/>
            <w:hideMark/>
          </w:tcPr>
          <w:p w14:paraId="0B194AC3" w14:textId="77777777" w:rsidR="009E7A83" w:rsidRPr="00097F07" w:rsidRDefault="009E7A83" w:rsidP="00C24A5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F67C6" w:rsidRPr="005D6D69" w14:paraId="08552075" w14:textId="77777777" w:rsidTr="00C24A5B">
        <w:trPr>
          <w:trHeight w:val="5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4356" w14:textId="7F066B8F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28E9" w14:textId="0BE18F3E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0.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86M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5758" w14:textId="478F0A84" w:rsidR="009E7A83" w:rsidRPr="00097F07" w:rsidRDefault="001F67C6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12.04</w:t>
            </w:r>
            <w:r w:rsidR="009E7A83"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70" w:type="dxa"/>
            <w:vAlign w:val="center"/>
            <w:hideMark/>
          </w:tcPr>
          <w:p w14:paraId="28B6CFF8" w14:textId="77777777" w:rsidR="009E7A83" w:rsidRPr="00097F07" w:rsidRDefault="009E7A83" w:rsidP="00C24A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1F67C6" w:rsidRPr="005D6D69" w14:paraId="5632EC55" w14:textId="77777777" w:rsidTr="00C24A5B">
        <w:trPr>
          <w:trHeight w:val="50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E74B" w14:textId="4C71F314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80A54" w14:textId="3F494289" w:rsidR="009E7A83" w:rsidRPr="00097F07" w:rsidRDefault="009E7A83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1.50M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0971" w14:textId="044604C4" w:rsidR="009E7A83" w:rsidRPr="00097F07" w:rsidRDefault="001F67C6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21.01</w:t>
            </w:r>
            <w:r w:rsidR="009E7A83"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70" w:type="dxa"/>
            <w:vAlign w:val="center"/>
            <w:hideMark/>
          </w:tcPr>
          <w:p w14:paraId="2FE3EE1F" w14:textId="77777777" w:rsidR="009E7A83" w:rsidRPr="00097F07" w:rsidRDefault="009E7A83" w:rsidP="00C24A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9E7A83" w:rsidRPr="005D6D69" w14:paraId="725BF512" w14:textId="77777777" w:rsidTr="00C24A5B">
        <w:trPr>
          <w:trHeight w:val="50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B05F" w14:textId="3E268F20" w:rsidR="009E7A83" w:rsidRPr="005D6D69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0408" w14:textId="29B9849E" w:rsidR="009E7A83" w:rsidRPr="005D6D69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1.97M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6060" w14:textId="63021AAD" w:rsidR="009E7A83" w:rsidRPr="005D6D69" w:rsidRDefault="001F67C6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27.60</w:t>
            </w:r>
            <w:r w:rsidR="009E7A83"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70" w:type="dxa"/>
            <w:vAlign w:val="center"/>
          </w:tcPr>
          <w:p w14:paraId="091128EE" w14:textId="77777777" w:rsidR="009E7A83" w:rsidRPr="005D6D69" w:rsidRDefault="009E7A83" w:rsidP="009E7A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9E7A83" w:rsidRPr="005D6D69" w14:paraId="264372E6" w14:textId="77777777" w:rsidTr="00C24A5B">
        <w:trPr>
          <w:trHeight w:val="50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DF4C" w14:textId="5716D0AC" w:rsidR="009E7A83" w:rsidRPr="005D6D69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1BE2" w14:textId="60C8FD05" w:rsidR="009E7A83" w:rsidRPr="005D6D69" w:rsidRDefault="009E7A83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2.81M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8C90" w14:textId="03D5E940" w:rsidR="009E7A83" w:rsidRPr="005D6D69" w:rsidRDefault="001F67C6" w:rsidP="009E7A8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39.35</w:t>
            </w:r>
            <w:r w:rsidR="009E7A83"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70" w:type="dxa"/>
            <w:vAlign w:val="center"/>
          </w:tcPr>
          <w:p w14:paraId="1D963387" w14:textId="77777777" w:rsidR="009E7A83" w:rsidRPr="005D6D69" w:rsidRDefault="009E7A83" w:rsidP="009E7A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AA1673F" w14:textId="77777777" w:rsidR="009E7A83" w:rsidRPr="005D6D69" w:rsidRDefault="009E7A83" w:rsidP="009E7A83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1D02CB15" w14:textId="77777777" w:rsidR="009E7A83" w:rsidRPr="005D6D69" w:rsidRDefault="009E7A83" w:rsidP="009E7A83">
      <w:pPr>
        <w:pStyle w:val="NormalWeb"/>
        <w:ind w:left="284"/>
        <w:rPr>
          <w:rFonts w:asciiTheme="minorHAnsi" w:hAnsiTheme="minorHAnsi" w:cstheme="minorHAnsi"/>
        </w:rPr>
      </w:pPr>
    </w:p>
    <w:p w14:paraId="0F35AD63" w14:textId="77777777" w:rsidR="009E7A83" w:rsidRPr="005D6D69" w:rsidRDefault="009E7A83" w:rsidP="009E7A83">
      <w:pPr>
        <w:pStyle w:val="NormalWeb"/>
        <w:ind w:left="284"/>
        <w:rPr>
          <w:rFonts w:asciiTheme="minorHAnsi" w:hAnsiTheme="minorHAnsi" w:cstheme="minorHAnsi"/>
        </w:rPr>
      </w:pPr>
    </w:p>
    <w:p w14:paraId="194970C1" w14:textId="788A596F" w:rsidR="009E7A83" w:rsidRPr="005D6D69" w:rsidRDefault="009E7A83" w:rsidP="009E7A83">
      <w:pPr>
        <w:pStyle w:val="NormalWeb"/>
        <w:rPr>
          <w:rFonts w:asciiTheme="minorHAnsi" w:hAnsiTheme="minorHAnsi" w:cstheme="minorHAnsi"/>
        </w:rPr>
      </w:pPr>
    </w:p>
    <w:p w14:paraId="6E95E517" w14:textId="0782A79C" w:rsidR="009E7A83" w:rsidRPr="005D6D69" w:rsidRDefault="009E7A83" w:rsidP="009E7A83">
      <w:pPr>
        <w:pStyle w:val="NormalWeb"/>
        <w:rPr>
          <w:rFonts w:asciiTheme="minorHAnsi" w:hAnsiTheme="minorHAnsi" w:cstheme="minorHAnsi"/>
        </w:rPr>
      </w:pPr>
    </w:p>
    <w:p w14:paraId="07CF58B6" w14:textId="77777777" w:rsidR="009E7A83" w:rsidRPr="005D6D69" w:rsidRDefault="009E7A83" w:rsidP="009E7A83">
      <w:pPr>
        <w:pStyle w:val="NormalWeb"/>
        <w:rPr>
          <w:rFonts w:asciiTheme="minorHAnsi" w:hAnsiTheme="minorHAnsi" w:cstheme="minorHAnsi"/>
        </w:rPr>
      </w:pPr>
    </w:p>
    <w:p w14:paraId="78891243" w14:textId="77777777" w:rsidR="001F67C6" w:rsidRPr="005D6D69" w:rsidRDefault="009E7A83" w:rsidP="001F67C6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 xml:space="preserve">Key insights: </w:t>
      </w:r>
    </w:p>
    <w:p w14:paraId="1EA0C370" w14:textId="77777777" w:rsidR="001F67C6" w:rsidRPr="005D6D69" w:rsidRDefault="001F67C6" w:rsidP="001F67C6">
      <w:pPr>
        <w:pStyle w:val="ListParagraph"/>
        <w:ind w:left="1440"/>
        <w:rPr>
          <w:rStyle w:val="Strong"/>
          <w:rFonts w:cstheme="minorHAnsi"/>
          <w:sz w:val="24"/>
          <w:szCs w:val="24"/>
          <w:u w:val="single"/>
        </w:rPr>
      </w:pPr>
    </w:p>
    <w:p w14:paraId="11E2F50D" w14:textId="48CCA744" w:rsidR="001F67C6" w:rsidRPr="005D6D69" w:rsidRDefault="001F67C6" w:rsidP="001F67C6">
      <w:pPr>
        <w:pStyle w:val="ListParagraph"/>
        <w:numPr>
          <w:ilvl w:val="2"/>
          <w:numId w:val="21"/>
        </w:numPr>
        <w:ind w:left="851" w:hanging="284"/>
        <w:rPr>
          <w:rFonts w:cstheme="minorHAnsi"/>
          <w:sz w:val="24"/>
          <w:szCs w:val="24"/>
          <w:u w:val="single"/>
        </w:rPr>
      </w:pPr>
      <w:r w:rsidRPr="005D6D69">
        <w:rPr>
          <w:rStyle w:val="Strong"/>
          <w:rFonts w:cstheme="minorHAnsi"/>
          <w:sz w:val="24"/>
          <w:szCs w:val="24"/>
          <w:u w:val="single"/>
        </w:rPr>
        <w:t>Strong Year-Round Sales Distribution</w:t>
      </w:r>
    </w:p>
    <w:p w14:paraId="0DE606F7" w14:textId="77777777" w:rsidR="001F67C6" w:rsidRPr="005D6D69" w:rsidRDefault="001F67C6" w:rsidP="001C36FD">
      <w:pPr>
        <w:pStyle w:val="NormalWeb"/>
        <w:numPr>
          <w:ilvl w:val="0"/>
          <w:numId w:val="24"/>
        </w:numPr>
        <w:ind w:hanging="153"/>
        <w:rPr>
          <w:rFonts w:asciiTheme="minorHAnsi" w:hAnsiTheme="minorHAnsi" w:cstheme="minorHAnsi"/>
          <w:b/>
          <w:bCs/>
        </w:rPr>
      </w:pPr>
      <w:r w:rsidRPr="005D6D69">
        <w:rPr>
          <w:rFonts w:asciiTheme="minorHAnsi" w:hAnsiTheme="minorHAnsi" w:cstheme="minorHAnsi"/>
        </w:rPr>
        <w:t>All four quarters contributed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meaningfully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Fonts w:asciiTheme="minorHAnsi" w:hAnsiTheme="minorHAnsi" w:cstheme="minorHAnsi"/>
        </w:rPr>
        <w:t>to revenue, showing a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steady and balanced growth trend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Fonts w:asciiTheme="minorHAnsi" w:hAnsiTheme="minorHAnsi" w:cstheme="minorHAnsi"/>
        </w:rPr>
        <w:t>across the year.</w:t>
      </w:r>
    </w:p>
    <w:p w14:paraId="046B3B2E" w14:textId="22198468" w:rsidR="001F67C6" w:rsidRPr="005D6D69" w:rsidRDefault="001F67C6" w:rsidP="001F67C6">
      <w:pPr>
        <w:pStyle w:val="NormalWeb"/>
        <w:ind w:left="567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2)</w:t>
      </w:r>
      <w:r w:rsidRPr="005D6D69">
        <w:rPr>
          <w:rStyle w:val="Strong"/>
          <w:rFonts w:asciiTheme="minorHAnsi" w:eastAsiaTheme="minorHAnsi" w:hAnsiTheme="minorHAnsi" w:cstheme="minorHAnsi"/>
        </w:rPr>
        <w:t xml:space="preserve"> </w:t>
      </w:r>
      <w:r w:rsidRPr="005D6D69">
        <w:rPr>
          <w:rStyle w:val="Strong"/>
          <w:rFonts w:asciiTheme="minorHAnsi" w:eastAsiaTheme="minorHAnsi" w:hAnsiTheme="minorHAnsi" w:cstheme="minorHAnsi"/>
          <w:u w:val="single"/>
        </w:rPr>
        <w:t>Q4 Remains the Peak</w:t>
      </w:r>
    </w:p>
    <w:p w14:paraId="20CA16C6" w14:textId="77777777" w:rsidR="001F67C6" w:rsidRPr="005D6D69" w:rsidRDefault="001F67C6" w:rsidP="001C36FD">
      <w:pPr>
        <w:pStyle w:val="NormalWeb"/>
        <w:numPr>
          <w:ilvl w:val="0"/>
          <w:numId w:val="25"/>
        </w:numPr>
        <w:ind w:hanging="153"/>
        <w:rPr>
          <w:rFonts w:asciiTheme="minorHAnsi" w:hAnsiTheme="minorHAnsi" w:cstheme="minorHAnsi"/>
        </w:rPr>
      </w:pPr>
      <w:r w:rsidRPr="005D6D69">
        <w:rPr>
          <w:rStyle w:val="Strong"/>
          <w:rFonts w:asciiTheme="minorHAnsi" w:hAnsiTheme="minorHAnsi" w:cstheme="minorHAnsi"/>
          <w:b w:val="0"/>
          <w:bCs w:val="0"/>
        </w:rPr>
        <w:t>Q4 generated 2.81M</w:t>
      </w:r>
      <w:r w:rsidRPr="005D6D69">
        <w:rPr>
          <w:rFonts w:asciiTheme="minorHAnsi" w:hAnsiTheme="minorHAnsi" w:cstheme="minorHAnsi"/>
          <w:b/>
          <w:bCs/>
        </w:rPr>
        <w:t>,</w:t>
      </w:r>
      <w:r w:rsidRPr="005D6D69">
        <w:rPr>
          <w:rFonts w:asciiTheme="minorHAnsi" w:hAnsiTheme="minorHAnsi" w:cstheme="minorHAnsi"/>
        </w:rPr>
        <w:t xml:space="preserve"> the highest among all quarters (≈39.37% of total revenue).</w:t>
      </w:r>
    </w:p>
    <w:p w14:paraId="03D87337" w14:textId="77777777" w:rsidR="001F67C6" w:rsidRPr="005D6D69" w:rsidRDefault="001F67C6" w:rsidP="001C36FD">
      <w:pPr>
        <w:pStyle w:val="NormalWeb"/>
        <w:numPr>
          <w:ilvl w:val="0"/>
          <w:numId w:val="25"/>
        </w:numPr>
        <w:ind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While Q4 is still dominant, its share is less extreme compared to 2016 (which was over 99%).</w:t>
      </w:r>
    </w:p>
    <w:p w14:paraId="21C8AAD2" w14:textId="77777777" w:rsidR="001F67C6" w:rsidRPr="005D6D69" w:rsidRDefault="001F67C6" w:rsidP="001C36FD">
      <w:pPr>
        <w:pStyle w:val="NormalWeb"/>
        <w:ind w:left="567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 xml:space="preserve">3. </w:t>
      </w:r>
      <w:r w:rsidRPr="005D6D69">
        <w:rPr>
          <w:rFonts w:asciiTheme="minorHAnsi" w:hAnsiTheme="minorHAnsi" w:cstheme="minorHAnsi"/>
          <w:b/>
          <w:bCs/>
          <w:u w:val="single"/>
        </w:rPr>
        <w:t>Growth Momentum from Q1 to Q4</w:t>
      </w:r>
    </w:p>
    <w:p w14:paraId="2A4E09B7" w14:textId="77777777" w:rsidR="001F67C6" w:rsidRPr="005D6D69" w:rsidRDefault="001F67C6" w:rsidP="001C36FD">
      <w:pPr>
        <w:pStyle w:val="NormalWeb"/>
        <w:numPr>
          <w:ilvl w:val="0"/>
          <w:numId w:val="26"/>
        </w:numPr>
        <w:ind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 xml:space="preserve">Sales increased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consistently from Q1 (0.86M) to Q4 (2.81M</w:t>
      </w:r>
      <w:r w:rsidRPr="005D6D69">
        <w:rPr>
          <w:rStyle w:val="Strong"/>
          <w:rFonts w:asciiTheme="minorHAnsi" w:hAnsiTheme="minorHAnsi" w:cstheme="minorHAnsi"/>
        </w:rPr>
        <w:t>)</w:t>
      </w:r>
      <w:r w:rsidRPr="005D6D69">
        <w:rPr>
          <w:rFonts w:asciiTheme="minorHAnsi" w:hAnsiTheme="minorHAnsi" w:cstheme="minorHAnsi"/>
        </w:rPr>
        <w:t>, indicating possible:</w:t>
      </w:r>
    </w:p>
    <w:p w14:paraId="0ED779A4" w14:textId="77777777" w:rsidR="001F67C6" w:rsidRPr="005D6D69" w:rsidRDefault="001F67C6" w:rsidP="001C36FD">
      <w:pPr>
        <w:pStyle w:val="NormalWeb"/>
        <w:numPr>
          <w:ilvl w:val="1"/>
          <w:numId w:val="26"/>
        </w:numPr>
        <w:ind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Seasonal market trends,</w:t>
      </w:r>
    </w:p>
    <w:p w14:paraId="7B6238FA" w14:textId="77777777" w:rsidR="001F67C6" w:rsidRPr="005D6D69" w:rsidRDefault="001F67C6" w:rsidP="001C36FD">
      <w:pPr>
        <w:pStyle w:val="NormalWeb"/>
        <w:numPr>
          <w:ilvl w:val="1"/>
          <w:numId w:val="26"/>
        </w:numPr>
        <w:ind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Progressive product rollout or marketing impact,</w:t>
      </w:r>
    </w:p>
    <w:p w14:paraId="0230DC10" w14:textId="77777777" w:rsidR="001F67C6" w:rsidRPr="005D6D69" w:rsidRDefault="001F67C6" w:rsidP="001C36FD">
      <w:pPr>
        <w:pStyle w:val="NormalWeb"/>
        <w:numPr>
          <w:ilvl w:val="1"/>
          <w:numId w:val="26"/>
        </w:numPr>
        <w:ind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Stronger customer adoption later in the year.</w:t>
      </w:r>
    </w:p>
    <w:p w14:paraId="74293A62" w14:textId="53851F06" w:rsidR="009E7A83" w:rsidRDefault="009E7A83" w:rsidP="001C36FD">
      <w:pPr>
        <w:pStyle w:val="NormalWeb"/>
      </w:pPr>
    </w:p>
    <w:p w14:paraId="1E553AEA" w14:textId="77777777" w:rsidR="001C36FD" w:rsidRPr="00F00E0D" w:rsidRDefault="001C36FD" w:rsidP="001C36F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567" w:hanging="426"/>
        <w:rPr>
          <w:rFonts w:eastAsia="Times New Roman" w:cstheme="minorHAnsi"/>
          <w:sz w:val="28"/>
          <w:szCs w:val="28"/>
          <w:lang w:eastAsia="en-IN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t>Seasonal Sales Pattern (Yearly and Quarterly as well)</w:t>
      </w:r>
    </w:p>
    <w:p w14:paraId="46C1E672" w14:textId="47E959FF" w:rsidR="001C36FD" w:rsidRPr="00F00E0D" w:rsidRDefault="001C36FD" w:rsidP="001C36FD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8"/>
          <w:szCs w:val="28"/>
          <w:u w:val="single"/>
        </w:rPr>
      </w:pPr>
      <w:r w:rsidRPr="00F00E0D">
        <w:rPr>
          <w:rFonts w:cstheme="minorHAnsi"/>
          <w:b/>
          <w:bCs/>
          <w:sz w:val="28"/>
          <w:szCs w:val="28"/>
          <w:u w:val="single"/>
        </w:rPr>
        <w:t>2018</w:t>
      </w:r>
    </w:p>
    <w:p w14:paraId="17B274AD" w14:textId="77777777" w:rsidR="001C36FD" w:rsidRPr="005D6D69" w:rsidRDefault="001C36FD" w:rsidP="001C36FD">
      <w:pPr>
        <w:pStyle w:val="ListParagraph"/>
        <w:spacing w:before="100" w:beforeAutospacing="1" w:after="100" w:afterAutospacing="1" w:line="240" w:lineRule="auto"/>
        <w:ind w:left="567"/>
        <w:rPr>
          <w:rFonts w:cstheme="minorHAnsi"/>
          <w:b/>
          <w:bCs/>
          <w:sz w:val="24"/>
          <w:szCs w:val="24"/>
          <w:u w:val="single"/>
        </w:rPr>
      </w:pPr>
    </w:p>
    <w:p w14:paraId="1D73F55E" w14:textId="63494FA9" w:rsidR="001C36FD" w:rsidRDefault="001C36FD" w:rsidP="00F00E0D">
      <w:pPr>
        <w:pStyle w:val="ListParagraph"/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  <w:r w:rsidRPr="005D6D69"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5D6D6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5B821987" wp14:editId="4247FE33">
            <wp:extent cx="2393950" cy="1181686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544" cy="1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69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5D6D6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01E24F34" wp14:editId="53F48B8B">
            <wp:extent cx="2495549" cy="1195754"/>
            <wp:effectExtent l="0" t="0" r="63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46" cy="1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0387" w14:textId="77777777" w:rsidR="00F00E0D" w:rsidRPr="00F00E0D" w:rsidRDefault="00F00E0D" w:rsidP="00F00E0D">
      <w:pPr>
        <w:pStyle w:val="ListParagraph"/>
        <w:spacing w:before="100" w:beforeAutospacing="1" w:after="100" w:afterAutospacing="1" w:line="240" w:lineRule="auto"/>
        <w:ind w:left="567"/>
        <w:rPr>
          <w:rFonts w:eastAsia="Times New Roman" w:cstheme="minorHAnsi"/>
          <w:sz w:val="24"/>
          <w:szCs w:val="24"/>
          <w:lang w:eastAsia="en-IN"/>
        </w:rPr>
      </w:pPr>
    </w:p>
    <w:p w14:paraId="0498CB9A" w14:textId="77777777" w:rsidR="001C36FD" w:rsidRPr="005D6D69" w:rsidRDefault="001C36FD" w:rsidP="001C36F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>Visualization Summary:</w:t>
      </w:r>
    </w:p>
    <w:tbl>
      <w:tblPr>
        <w:tblpPr w:leftFromText="180" w:rightFromText="180" w:vertAnchor="text" w:horzAnchor="page" w:tblpX="2501" w:tblpY="135"/>
        <w:tblW w:w="3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968"/>
        <w:gridCol w:w="2030"/>
        <w:gridCol w:w="88"/>
      </w:tblGrid>
      <w:tr w:rsidR="001C36FD" w:rsidRPr="005D6D69" w14:paraId="361B44D8" w14:textId="77777777" w:rsidTr="00F00E0D">
        <w:trPr>
          <w:trHeight w:val="28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C1D" w14:textId="77777777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Quarter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2514" w14:textId="77777777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Sales (</w:t>
            </w:r>
            <w:r w:rsidRPr="005D6D6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</w:t>
            </w: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4382" w14:textId="77777777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% </w:t>
            </w:r>
            <w:proofErr w:type="gramStart"/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097F0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Total Revenue</w:t>
            </w:r>
          </w:p>
        </w:tc>
        <w:tc>
          <w:tcPr>
            <w:tcW w:w="43" w:type="dxa"/>
            <w:vAlign w:val="center"/>
            <w:hideMark/>
          </w:tcPr>
          <w:p w14:paraId="54C8CADC" w14:textId="77777777" w:rsidR="001C36FD" w:rsidRPr="00097F07" w:rsidRDefault="001C36FD" w:rsidP="00C24A5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C36FD" w:rsidRPr="005D6D69" w14:paraId="1B2BAB34" w14:textId="77777777" w:rsidTr="00F00E0D">
        <w:trPr>
          <w:trHeight w:val="29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CF406" w14:textId="77777777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770E" w14:textId="46C47322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3.25M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604A3" w14:textId="677B54B6" w:rsidR="001C36FD" w:rsidRPr="00097F07" w:rsidRDefault="006370EA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37.61</w:t>
            </w:r>
            <w:r w:rsidR="001C36FD"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43" w:type="dxa"/>
            <w:vAlign w:val="center"/>
            <w:hideMark/>
          </w:tcPr>
          <w:p w14:paraId="477CD607" w14:textId="77777777" w:rsidR="001C36FD" w:rsidRPr="00097F07" w:rsidRDefault="001C36FD" w:rsidP="00C24A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1C36FD" w:rsidRPr="005D6D69" w14:paraId="6A70E437" w14:textId="77777777" w:rsidTr="00F00E0D">
        <w:trPr>
          <w:trHeight w:val="2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A980" w14:textId="77777777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9BDF" w14:textId="722B2E75" w:rsidR="001C36FD" w:rsidRPr="00097F07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3.33M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83F8" w14:textId="1DE43C8B" w:rsidR="001C36FD" w:rsidRPr="00097F07" w:rsidRDefault="006370EA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38.54</w:t>
            </w:r>
            <w:r w:rsidR="001C36FD"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43" w:type="dxa"/>
            <w:vAlign w:val="center"/>
            <w:hideMark/>
          </w:tcPr>
          <w:p w14:paraId="26857F49" w14:textId="77777777" w:rsidR="001C36FD" w:rsidRPr="00097F07" w:rsidRDefault="001C36FD" w:rsidP="00C24A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F00E0D" w:rsidRPr="005D6D69" w14:paraId="06036098" w14:textId="77777777" w:rsidTr="00F00E0D">
        <w:trPr>
          <w:trHeight w:val="2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03E0" w14:textId="77777777" w:rsidR="001C36FD" w:rsidRPr="005D6D69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Q</w:t>
            </w: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5F73" w14:textId="65F76F15" w:rsidR="001C36FD" w:rsidRPr="005D6D69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2.06M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85AA" w14:textId="6C05DCD0" w:rsidR="001C36FD" w:rsidRPr="005D6D69" w:rsidRDefault="001C36FD" w:rsidP="00C24A5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  <w:r w:rsidR="006370EA" w:rsidRPr="005D6D69">
              <w:rPr>
                <w:rFonts w:eastAsia="Times New Roman" w:cstheme="minorHAnsi"/>
                <w:sz w:val="24"/>
                <w:szCs w:val="24"/>
                <w:lang w:eastAsia="en-IN"/>
              </w:rPr>
              <w:t>3.85</w:t>
            </w:r>
            <w:r w:rsidRPr="00097F07">
              <w:rPr>
                <w:rFonts w:eastAsia="Times New Roman"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43" w:type="dxa"/>
            <w:vAlign w:val="center"/>
          </w:tcPr>
          <w:p w14:paraId="46DF77CA" w14:textId="77777777" w:rsidR="001C36FD" w:rsidRPr="005D6D69" w:rsidRDefault="001C36FD" w:rsidP="00C24A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4F5F4F1" w14:textId="77777777" w:rsidR="001C36FD" w:rsidRPr="005D6D69" w:rsidRDefault="001C36FD" w:rsidP="001C36FD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0AC2958D" w14:textId="77777777" w:rsidR="001C36FD" w:rsidRPr="005D6D69" w:rsidRDefault="001C36FD" w:rsidP="001C36FD">
      <w:pPr>
        <w:pStyle w:val="NormalWeb"/>
        <w:ind w:left="284"/>
        <w:rPr>
          <w:rFonts w:asciiTheme="minorHAnsi" w:hAnsiTheme="minorHAnsi" w:cstheme="minorHAnsi"/>
        </w:rPr>
      </w:pPr>
    </w:p>
    <w:p w14:paraId="65EFE716" w14:textId="77777777" w:rsidR="001C36FD" w:rsidRPr="005D6D69" w:rsidRDefault="001C36FD" w:rsidP="001C36FD">
      <w:pPr>
        <w:pStyle w:val="NormalWeb"/>
        <w:ind w:left="284"/>
        <w:rPr>
          <w:rFonts w:asciiTheme="minorHAnsi" w:hAnsiTheme="minorHAnsi" w:cstheme="minorHAnsi"/>
        </w:rPr>
      </w:pPr>
    </w:p>
    <w:p w14:paraId="2F38C88F" w14:textId="77777777" w:rsidR="001C36FD" w:rsidRPr="005D6D69" w:rsidRDefault="001C36FD" w:rsidP="001C36FD">
      <w:pPr>
        <w:pStyle w:val="NormalWeb"/>
        <w:rPr>
          <w:rFonts w:asciiTheme="minorHAnsi" w:hAnsiTheme="minorHAnsi" w:cstheme="minorHAnsi"/>
        </w:rPr>
      </w:pPr>
    </w:p>
    <w:p w14:paraId="410F5203" w14:textId="5F5A2A8B" w:rsidR="006370EA" w:rsidRPr="005D6D69" w:rsidRDefault="001C36FD" w:rsidP="006370EA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 xml:space="preserve">Key insights: </w:t>
      </w:r>
    </w:p>
    <w:p w14:paraId="211EF6DB" w14:textId="77777777" w:rsidR="006370EA" w:rsidRPr="005D6D69" w:rsidRDefault="006370EA" w:rsidP="006370E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7456D7F3" w14:textId="7139B8B6" w:rsidR="006370EA" w:rsidRPr="005D6D69" w:rsidRDefault="006370EA" w:rsidP="006370EA">
      <w:pPr>
        <w:pStyle w:val="ListParagraph"/>
        <w:numPr>
          <w:ilvl w:val="1"/>
          <w:numId w:val="23"/>
        </w:numPr>
        <w:ind w:left="851" w:hanging="284"/>
        <w:rPr>
          <w:rFonts w:cstheme="minorHAnsi"/>
          <w:b/>
          <w:bCs/>
          <w:sz w:val="24"/>
          <w:szCs w:val="24"/>
          <w:u w:val="single"/>
        </w:rPr>
      </w:pPr>
      <w:r w:rsidRPr="005D6D69">
        <w:rPr>
          <w:rFonts w:cstheme="minorHAnsi"/>
          <w:b/>
          <w:bCs/>
          <w:sz w:val="24"/>
          <w:szCs w:val="24"/>
          <w:u w:val="single"/>
        </w:rPr>
        <w:t>Q1 and Q2 Dominate Sales</w:t>
      </w:r>
    </w:p>
    <w:p w14:paraId="099259E2" w14:textId="77777777" w:rsidR="006370EA" w:rsidRPr="005D6D69" w:rsidRDefault="006370EA" w:rsidP="005D6D69">
      <w:pPr>
        <w:pStyle w:val="NormalWeb"/>
        <w:numPr>
          <w:ilvl w:val="0"/>
          <w:numId w:val="27"/>
        </w:numPr>
        <w:tabs>
          <w:tab w:val="clear" w:pos="720"/>
          <w:tab w:val="num" w:pos="993"/>
        </w:tabs>
        <w:ind w:left="851" w:hanging="142"/>
        <w:rPr>
          <w:rFonts w:asciiTheme="minorHAnsi" w:hAnsiTheme="minorHAnsi" w:cstheme="minorHAnsi"/>
        </w:rPr>
      </w:pPr>
      <w:r w:rsidRPr="005D6D69">
        <w:rPr>
          <w:rStyle w:val="Strong"/>
          <w:rFonts w:asciiTheme="minorHAnsi" w:hAnsiTheme="minorHAnsi" w:cstheme="minorHAnsi"/>
          <w:b w:val="0"/>
          <w:bCs w:val="0"/>
        </w:rPr>
        <w:t>Q1 (3.25M)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Fonts w:asciiTheme="minorHAnsi" w:hAnsiTheme="minorHAnsi" w:cstheme="minorHAnsi"/>
        </w:rPr>
        <w:t>and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Q2 (3.33M)</w:t>
      </w:r>
      <w:r w:rsidRPr="005D6D69">
        <w:rPr>
          <w:rFonts w:asciiTheme="minorHAnsi" w:hAnsiTheme="minorHAnsi" w:cstheme="minorHAnsi"/>
        </w:rPr>
        <w:t xml:space="preserve"> combined account for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over 76%</w:t>
      </w:r>
      <w:r w:rsidRPr="005D6D69">
        <w:rPr>
          <w:rFonts w:asciiTheme="minorHAnsi" w:hAnsiTheme="minorHAnsi" w:cstheme="minorHAnsi"/>
        </w:rPr>
        <w:t xml:space="preserve"> of the annual revenue.</w:t>
      </w:r>
    </w:p>
    <w:p w14:paraId="4E8ED737" w14:textId="1CC092EC" w:rsidR="006370EA" w:rsidRPr="005D6D69" w:rsidRDefault="006370EA" w:rsidP="005D6D69">
      <w:pPr>
        <w:pStyle w:val="NormalWeb"/>
        <w:numPr>
          <w:ilvl w:val="0"/>
          <w:numId w:val="27"/>
        </w:numPr>
        <w:tabs>
          <w:tab w:val="clear" w:pos="720"/>
          <w:tab w:val="num" w:pos="993"/>
        </w:tabs>
        <w:ind w:left="851" w:hanging="142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 xml:space="preserve">This is a major shift from 2017 where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Q4 led sales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Fonts w:asciiTheme="minorHAnsi" w:hAnsiTheme="minorHAnsi" w:cstheme="minorHAnsi"/>
        </w:rPr>
        <w:t>—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Fonts w:asciiTheme="minorHAnsi" w:hAnsiTheme="minorHAnsi" w:cstheme="minorHAnsi"/>
        </w:rPr>
        <w:t>now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early-year performance is stronger</w:t>
      </w:r>
      <w:r w:rsidRPr="005D6D69">
        <w:rPr>
          <w:rFonts w:asciiTheme="minorHAnsi" w:hAnsiTheme="minorHAnsi" w:cstheme="minorHAnsi"/>
          <w:b/>
          <w:bCs/>
        </w:rPr>
        <w:t>.</w:t>
      </w:r>
    </w:p>
    <w:p w14:paraId="58E347F3" w14:textId="0C0A128D" w:rsidR="006370EA" w:rsidRPr="005D6D69" w:rsidRDefault="006370EA" w:rsidP="006370EA">
      <w:pPr>
        <w:pStyle w:val="NormalWeb"/>
        <w:ind w:left="720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 xml:space="preserve">2) </w:t>
      </w:r>
      <w:r w:rsidRPr="005D6D69">
        <w:rPr>
          <w:rFonts w:asciiTheme="minorHAnsi" w:hAnsiTheme="minorHAnsi" w:cstheme="minorHAnsi"/>
          <w:b/>
          <w:bCs/>
          <w:u w:val="single"/>
        </w:rPr>
        <w:t>Q3 Decline</w:t>
      </w:r>
    </w:p>
    <w:p w14:paraId="150A6854" w14:textId="0339AFC4" w:rsidR="006370EA" w:rsidRPr="005D6D69" w:rsidRDefault="006370EA" w:rsidP="00AB1203">
      <w:pPr>
        <w:pStyle w:val="NormalWeb"/>
        <w:numPr>
          <w:ilvl w:val="0"/>
          <w:numId w:val="28"/>
        </w:numPr>
        <w:tabs>
          <w:tab w:val="clear" w:pos="720"/>
          <w:tab w:val="num" w:pos="851"/>
        </w:tabs>
        <w:ind w:left="851" w:hanging="153"/>
        <w:rPr>
          <w:rFonts w:asciiTheme="minorHAnsi" w:hAnsiTheme="minorHAnsi" w:cstheme="minorHAnsi"/>
        </w:rPr>
      </w:pPr>
      <w:r w:rsidRPr="005D6D69">
        <w:rPr>
          <w:rStyle w:val="Strong"/>
          <w:rFonts w:asciiTheme="minorHAnsi" w:hAnsiTheme="minorHAnsi" w:cstheme="minorHAnsi"/>
          <w:b w:val="0"/>
          <w:bCs w:val="0"/>
        </w:rPr>
        <w:t>Q3 contributes only 2.06M (23.85%)</w:t>
      </w:r>
      <w:r w:rsidRPr="005D6D69">
        <w:rPr>
          <w:rFonts w:asciiTheme="minorHAnsi" w:hAnsiTheme="minorHAnsi" w:cstheme="minorHAnsi"/>
          <w:b/>
          <w:bCs/>
        </w:rPr>
        <w:t>,</w:t>
      </w:r>
      <w:r w:rsidRPr="005D6D69">
        <w:rPr>
          <w:rFonts w:asciiTheme="minorHAnsi" w:hAnsiTheme="minorHAnsi" w:cstheme="minorHAnsi"/>
        </w:rPr>
        <w:t xml:space="preserve"> indicating a drop in sales momentum.</w:t>
      </w:r>
      <w:r w:rsidR="00AB1203" w:rsidRPr="005D6D69">
        <w:rPr>
          <w:rFonts w:asciiTheme="minorHAnsi" w:hAnsiTheme="minorHAnsi" w:cstheme="minorHAnsi"/>
        </w:rPr>
        <w:t xml:space="preserve"> Due to the following reasons: </w:t>
      </w:r>
    </w:p>
    <w:p w14:paraId="6F77A2E1" w14:textId="77777777" w:rsidR="006370EA" w:rsidRPr="005D6D69" w:rsidRDefault="006370EA" w:rsidP="00AB1203">
      <w:pPr>
        <w:pStyle w:val="NormalWeb"/>
        <w:numPr>
          <w:ilvl w:val="1"/>
          <w:numId w:val="28"/>
        </w:numPr>
        <w:tabs>
          <w:tab w:val="num" w:pos="851"/>
        </w:tabs>
        <w:ind w:left="851"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Mid-year seasonality,</w:t>
      </w:r>
    </w:p>
    <w:p w14:paraId="5BB08833" w14:textId="77777777" w:rsidR="006370EA" w:rsidRPr="005D6D69" w:rsidRDefault="006370EA" w:rsidP="00AB1203">
      <w:pPr>
        <w:pStyle w:val="NormalWeb"/>
        <w:numPr>
          <w:ilvl w:val="1"/>
          <w:numId w:val="28"/>
        </w:numPr>
        <w:tabs>
          <w:tab w:val="num" w:pos="851"/>
        </w:tabs>
        <w:ind w:left="851"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>Reduced demand or campaign activity,</w:t>
      </w:r>
    </w:p>
    <w:p w14:paraId="1E65ED1D" w14:textId="77777777" w:rsidR="006370EA" w:rsidRPr="005D6D69" w:rsidRDefault="006370EA" w:rsidP="00AB1203">
      <w:pPr>
        <w:pStyle w:val="NormalWeb"/>
        <w:numPr>
          <w:ilvl w:val="1"/>
          <w:numId w:val="28"/>
        </w:numPr>
        <w:tabs>
          <w:tab w:val="num" w:pos="851"/>
        </w:tabs>
        <w:ind w:left="851" w:hanging="153"/>
        <w:rPr>
          <w:rFonts w:asciiTheme="minorHAnsi" w:hAnsiTheme="minorHAnsi" w:cstheme="minorHAnsi"/>
        </w:rPr>
      </w:pPr>
      <w:r w:rsidRPr="005D6D69">
        <w:rPr>
          <w:rFonts w:asciiTheme="minorHAnsi" w:hAnsiTheme="minorHAnsi" w:cstheme="minorHAnsi"/>
        </w:rPr>
        <w:t xml:space="preserve">Shift in buyer </w:t>
      </w:r>
      <w:proofErr w:type="spellStart"/>
      <w:r w:rsidRPr="005D6D69">
        <w:rPr>
          <w:rFonts w:asciiTheme="minorHAnsi" w:hAnsiTheme="minorHAnsi" w:cstheme="minorHAnsi"/>
        </w:rPr>
        <w:t>behavior</w:t>
      </w:r>
      <w:proofErr w:type="spellEnd"/>
      <w:r w:rsidRPr="005D6D69">
        <w:rPr>
          <w:rFonts w:asciiTheme="minorHAnsi" w:hAnsiTheme="minorHAnsi" w:cstheme="minorHAnsi"/>
        </w:rPr>
        <w:t xml:space="preserve"> or internal capacity issues.</w:t>
      </w:r>
    </w:p>
    <w:p w14:paraId="4BEB1868" w14:textId="5A051351" w:rsidR="006370EA" w:rsidRPr="005D6D69" w:rsidRDefault="006370EA" w:rsidP="006370EA">
      <w:pPr>
        <w:pStyle w:val="ListParagraph"/>
        <w:rPr>
          <w:rFonts w:cstheme="minorHAnsi"/>
          <w:sz w:val="24"/>
          <w:szCs w:val="24"/>
        </w:rPr>
      </w:pPr>
      <w:r w:rsidRPr="005D6D69">
        <w:rPr>
          <w:rFonts w:cstheme="minorHAnsi"/>
          <w:sz w:val="24"/>
          <w:szCs w:val="24"/>
        </w:rPr>
        <w:t xml:space="preserve">3) </w:t>
      </w:r>
      <w:r w:rsidRPr="005D6D69">
        <w:rPr>
          <w:rFonts w:cstheme="minorHAnsi"/>
          <w:b/>
          <w:bCs/>
          <w:sz w:val="24"/>
          <w:szCs w:val="24"/>
          <w:u w:val="single"/>
        </w:rPr>
        <w:t>Overall Growth Trend</w:t>
      </w:r>
    </w:p>
    <w:p w14:paraId="22C6D707" w14:textId="34E2C926" w:rsidR="00F00E0D" w:rsidRDefault="006370EA" w:rsidP="00F00E0D">
      <w:pPr>
        <w:pStyle w:val="NormalWeb"/>
        <w:numPr>
          <w:ilvl w:val="0"/>
          <w:numId w:val="30"/>
        </w:numPr>
        <w:tabs>
          <w:tab w:val="clear" w:pos="720"/>
        </w:tabs>
        <w:ind w:left="851" w:hanging="153"/>
      </w:pPr>
      <w:r w:rsidRPr="005D6D69">
        <w:rPr>
          <w:rFonts w:asciiTheme="minorHAnsi" w:hAnsiTheme="minorHAnsi" w:cstheme="minorHAnsi"/>
        </w:rPr>
        <w:t xml:space="preserve">Despite missing Q4, 2018 shows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higher total revenue (8.64M)</w:t>
      </w:r>
      <w:r w:rsidRPr="005D6D69">
        <w:rPr>
          <w:rFonts w:asciiTheme="minorHAnsi" w:hAnsiTheme="minorHAnsi" w:cstheme="minorHAnsi"/>
          <w:b/>
          <w:bCs/>
        </w:rPr>
        <w:t xml:space="preserve"> </w:t>
      </w:r>
      <w:r w:rsidRPr="005D6D69">
        <w:rPr>
          <w:rFonts w:asciiTheme="minorHAnsi" w:hAnsiTheme="minorHAnsi" w:cstheme="minorHAnsi"/>
        </w:rPr>
        <w:t xml:space="preserve">than 2017 (7.14M), indicating </w:t>
      </w:r>
      <w:r w:rsidRPr="005D6D69">
        <w:rPr>
          <w:rStyle w:val="Strong"/>
          <w:rFonts w:asciiTheme="minorHAnsi" w:hAnsiTheme="minorHAnsi" w:cstheme="minorHAnsi"/>
          <w:b w:val="0"/>
          <w:bCs w:val="0"/>
        </w:rPr>
        <w:t>strong business growth</w:t>
      </w:r>
      <w:r w:rsidRPr="005D6D69">
        <w:rPr>
          <w:rFonts w:asciiTheme="minorHAnsi" w:hAnsiTheme="minorHAnsi" w:cstheme="minorHAnsi"/>
        </w:rPr>
        <w:t xml:space="preserve"> year-over-year</w:t>
      </w:r>
      <w:r w:rsidRPr="005D6D69">
        <w:t>.</w:t>
      </w:r>
    </w:p>
    <w:p w14:paraId="7B4B89D2" w14:textId="77777777" w:rsidR="00F00E0D" w:rsidRDefault="00F00E0D" w:rsidP="00F00E0D">
      <w:pPr>
        <w:pStyle w:val="NormalWeb"/>
      </w:pPr>
    </w:p>
    <w:p w14:paraId="3341E162" w14:textId="77777777" w:rsidR="00F00E0D" w:rsidRPr="004F7386" w:rsidRDefault="00F00E0D" w:rsidP="00F00E0D">
      <w:pPr>
        <w:pStyle w:val="NormalWeb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F7386">
        <w:rPr>
          <w:rFonts w:asciiTheme="minorHAnsi" w:hAnsiTheme="minorHAnsi" w:cstheme="minorHAnsi"/>
          <w:b/>
          <w:bCs/>
          <w:sz w:val="28"/>
          <w:szCs w:val="28"/>
          <w:u w:val="single"/>
        </w:rPr>
        <w:t>The end of report</w:t>
      </w:r>
    </w:p>
    <w:p w14:paraId="337BE7D1" w14:textId="77777777" w:rsidR="00F00E0D" w:rsidRPr="005D6D69" w:rsidRDefault="00F00E0D" w:rsidP="00F00E0D">
      <w:pPr>
        <w:pStyle w:val="NormalWeb"/>
        <w:ind w:left="851"/>
      </w:pPr>
    </w:p>
    <w:p w14:paraId="3503F9E1" w14:textId="77777777" w:rsidR="001C36FD" w:rsidRDefault="001C36FD" w:rsidP="001C36FD">
      <w:pPr>
        <w:pStyle w:val="NormalWeb"/>
      </w:pPr>
    </w:p>
    <w:sectPr w:rsidR="001C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DA9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3FB5"/>
    <w:multiLevelType w:val="hybridMultilevel"/>
    <w:tmpl w:val="D7E87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4D40"/>
    <w:multiLevelType w:val="multilevel"/>
    <w:tmpl w:val="C406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6347E"/>
    <w:multiLevelType w:val="hybridMultilevel"/>
    <w:tmpl w:val="E5767814"/>
    <w:lvl w:ilvl="0" w:tplc="56906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A4A0B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57B3C"/>
    <w:multiLevelType w:val="multilevel"/>
    <w:tmpl w:val="579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830D5"/>
    <w:multiLevelType w:val="hybridMultilevel"/>
    <w:tmpl w:val="5A3AE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5135"/>
    <w:multiLevelType w:val="multilevel"/>
    <w:tmpl w:val="96E0A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19F796E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A6F12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31078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84402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677F2"/>
    <w:multiLevelType w:val="hybridMultilevel"/>
    <w:tmpl w:val="FECA32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B66AA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27FA6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40208"/>
    <w:multiLevelType w:val="multilevel"/>
    <w:tmpl w:val="531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342C8"/>
    <w:multiLevelType w:val="multilevel"/>
    <w:tmpl w:val="DC7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Ansi="Symbo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hAnsiTheme="minorHAnsi" w:hint="default"/>
        <w:b w:val="0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E5604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92C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3D54EF1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5318A"/>
    <w:multiLevelType w:val="multilevel"/>
    <w:tmpl w:val="70D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hint="default"/>
        <w:b w:val="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71870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66EE9"/>
    <w:multiLevelType w:val="hybridMultilevel"/>
    <w:tmpl w:val="9E1AE04E"/>
    <w:lvl w:ilvl="0" w:tplc="8B665C2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8214DD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96E2D"/>
    <w:multiLevelType w:val="multilevel"/>
    <w:tmpl w:val="7C7E61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Symbol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958A7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E0926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A6123"/>
    <w:multiLevelType w:val="multilevel"/>
    <w:tmpl w:val="877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938A1"/>
    <w:multiLevelType w:val="multilevel"/>
    <w:tmpl w:val="76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6200D"/>
    <w:multiLevelType w:val="multilevel"/>
    <w:tmpl w:val="97F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22"/>
  </w:num>
  <w:num w:numId="5">
    <w:abstractNumId w:val="29"/>
  </w:num>
  <w:num w:numId="6">
    <w:abstractNumId w:val="15"/>
  </w:num>
  <w:num w:numId="7">
    <w:abstractNumId w:val="27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5"/>
  </w:num>
  <w:num w:numId="14">
    <w:abstractNumId w:val="4"/>
  </w:num>
  <w:num w:numId="15">
    <w:abstractNumId w:val="2"/>
  </w:num>
  <w:num w:numId="16">
    <w:abstractNumId w:val="12"/>
  </w:num>
  <w:num w:numId="17">
    <w:abstractNumId w:val="24"/>
  </w:num>
  <w:num w:numId="18">
    <w:abstractNumId w:val="28"/>
  </w:num>
  <w:num w:numId="19">
    <w:abstractNumId w:val="26"/>
  </w:num>
  <w:num w:numId="20">
    <w:abstractNumId w:val="9"/>
  </w:num>
  <w:num w:numId="21">
    <w:abstractNumId w:val="16"/>
  </w:num>
  <w:num w:numId="22">
    <w:abstractNumId w:val="25"/>
  </w:num>
  <w:num w:numId="23">
    <w:abstractNumId w:val="20"/>
  </w:num>
  <w:num w:numId="24">
    <w:abstractNumId w:val="23"/>
  </w:num>
  <w:num w:numId="25">
    <w:abstractNumId w:val="0"/>
  </w:num>
  <w:num w:numId="26">
    <w:abstractNumId w:val="10"/>
  </w:num>
  <w:num w:numId="27">
    <w:abstractNumId w:val="13"/>
  </w:num>
  <w:num w:numId="28">
    <w:abstractNumId w:val="21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21"/>
    <w:rsid w:val="00097F07"/>
    <w:rsid w:val="000A3D09"/>
    <w:rsid w:val="001C36FD"/>
    <w:rsid w:val="001F67C6"/>
    <w:rsid w:val="00361431"/>
    <w:rsid w:val="00456C9B"/>
    <w:rsid w:val="00467FB0"/>
    <w:rsid w:val="004F7386"/>
    <w:rsid w:val="005D6D69"/>
    <w:rsid w:val="006370EA"/>
    <w:rsid w:val="006644F1"/>
    <w:rsid w:val="00677B99"/>
    <w:rsid w:val="0079355C"/>
    <w:rsid w:val="0087786B"/>
    <w:rsid w:val="009E7A83"/>
    <w:rsid w:val="00AB1203"/>
    <w:rsid w:val="00AC2D21"/>
    <w:rsid w:val="00BC7852"/>
    <w:rsid w:val="00C3760A"/>
    <w:rsid w:val="00C909E0"/>
    <w:rsid w:val="00DE1017"/>
    <w:rsid w:val="00E56C64"/>
    <w:rsid w:val="00F00E0D"/>
    <w:rsid w:val="00FC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45F1"/>
  <w15:chartTrackingRefBased/>
  <w15:docId w15:val="{8D957E8C-73DD-4C5D-939A-AD95814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3D09"/>
    <w:rPr>
      <w:b/>
      <w:bCs/>
    </w:rPr>
  </w:style>
  <w:style w:type="paragraph" w:styleId="NormalWeb">
    <w:name w:val="Normal (Web)"/>
    <w:basedOn w:val="Normal"/>
    <w:uiPriority w:val="99"/>
    <w:unhideWhenUsed/>
    <w:rsid w:val="0036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55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7B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2025-07-20T09:33:00Z</dcterms:created>
  <dcterms:modified xsi:type="dcterms:W3CDTF">2025-07-20T11:28:00Z</dcterms:modified>
</cp:coreProperties>
</file>