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74EC00" stroked="f" style="position:absolute;width:595.9pt;height:842.7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line strokeweight="0.1pt" strokecolor="#000000" from="356.5pt,821.2pt" to="564.5pt,821.2pt" style="position:absolute;mso-position-horizontal-relative:page;mso-position-vertical-relative:page;">
            <v:stroke dashstyle="solid"/>
          </v:line>
        </w:pict>
      </w:r>
      <w:r>
        <w:pict>
          <v:line strokeweight="0.1pt" strokecolor="#000000" from="116.5pt,823.5pt" to="357.75pt,823.5pt" style="position:absolute;mso-position-horizontal-relative:page;mso-position-vertical-relative:page;">
            <v:stroke dashstyle="solid"/>
          </v:line>
        </w:pict>
      </w:r>
      <w:r>
        <w:pict>
          <v:line strokeweight="0.1pt" strokecolor="#000000" from="466.65pt,824.2pt" to="560.9pt,824.2pt" style="position:absolute;mso-position-horizontal-relative:page;mso-position-vertical-relative:page;">
            <v:stroke dashstyle="solid"/>
          </v:line>
        </w:pict>
      </w:r>
      <w:r>
        <w:pict>
          <v:line strokeweight="0.1pt" strokecolor="#000000" from="45pt,825.05pt" to="117.75pt,825.05pt" style="position:absolute;mso-position-horizontal-relative:page;mso-position-vertical-relative:page;">
            <v:stroke dashstyle="solid"/>
          </v:line>
        </w:pict>
      </w:r>
      <w:r>
        <w:pict>
          <v:line strokeweight="0.1pt" strokecolor="#000000" from="346.8pt,825.3pt" to="465.05pt,825.3pt" style="position:absolute;mso-position-horizontal-relative:page;mso-position-vertical-relative:page;">
            <v:stroke dashstyle="solid"/>
          </v:line>
        </w:pict>
      </w:r>
      <w:r>
        <w:pict>
          <v:line strokeweight="0.1pt" strokecolor="#000000" from="322.8pt,826pt" to="343.95pt,826pt" style="position:absolute;mso-position-horizontal-relative:page;mso-position-vertical-relative:page;">
            <v:stroke dashstyle="solid"/>
          </v:line>
        </w:pict>
      </w:r>
      <w:r>
        <w:pict>
          <v:line strokeweight="0.1pt" strokecolor="#000000" from="250.8pt,826.5pt" to="319.95pt,826.5pt" style="position:absolute;mso-position-horizontal-relative:page;mso-position-vertical-relative:page;">
            <v:stroke dashstyle="solid"/>
          </v:line>
        </w:pict>
      </w:r>
      <w:r>
        <w:pict>
          <v:line strokeweight="0.1pt" strokecolor="#000000" from="226.8pt,826.95pt" to="247.95pt,826.95pt" style="position:absolute;mso-position-horizontal-relative:page;mso-position-vertical-relative:page;">
            <v:stroke dashstyle="solid"/>
          </v:line>
        </w:pict>
      </w:r>
      <w:r>
        <w:pict>
          <v:line strokeweight="0.1pt" strokecolor="#000000" from="202.8pt,827.2pt" to="223.95pt,827.2pt" style="position:absolute;mso-position-horizontal-relative:page;mso-position-vertical-relative:page;">
            <v:stroke dashstyle="solid"/>
          </v:line>
        </w:pict>
      </w:r>
      <w:r>
        <w:pict>
          <v:line strokeweight="0.1pt" strokecolor="#000000" from="178.8pt,827.45pt" to="199.95pt,827.45pt" style="position:absolute;mso-position-horizontal-relative:page;mso-position-vertical-relative:page;">
            <v:stroke dashstyle="solid"/>
          </v:line>
        </w:pict>
      </w:r>
      <w:r>
        <w:pict>
          <v:line strokeweight="0.1pt" strokecolor="#000000" from="154.8pt,827.7pt" to="175.95pt,827.7pt" style="position:absolute;mso-position-horizontal-relative:page;mso-position-vertical-relative:page;">
            <v:stroke dashstyle="solid"/>
          </v:line>
        </w:pict>
      </w:r>
      <w:r>
        <w:pict>
          <v:line strokeweight="0.1pt" strokecolor="#000000" from="130.8pt,827.9pt" to="151.95pt,827.9pt" style="position:absolute;mso-position-horizontal-relative:page;mso-position-vertical-relative:page;">
            <v:stroke dashstyle="solid"/>
          </v:line>
        </w:pict>
      </w:r>
      <w:r>
        <w:pict>
          <v:line strokeweight="0.1pt" strokecolor="#000000" from="58.8pt,828.4pt" to="127.95pt,828.4pt" style="position:absolute;mso-position-horizontal-relative:page;mso-position-vertical-relative:page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458"/>
        <w:gridCol w:w="5422"/>
      </w:tblGrid>
      <w:tr>
        <w:trPr>
          <w:trHeight w:val="2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11880" w:type="auto"/>
            <w:textDirection w:val="lrTb"/>
            <w:vAlign w:val="center"/>
            <w:vMerge w:val="restart"/>
          </w:tcPr>
          <w:p>
            <w:pPr>
              <w:ind w:right="4644" w:left="0" w:firstLine="0"/>
              <w:spacing w:before="0" w:after="0" w:line="240" w:lineRule="auto"/>
              <w:jc w:val="right"/>
              <w:rPr>
                <w:b w:val="true"/>
                <w:color w:val="#FFFFFF"/>
                <w:sz w:val="39"/>
                <w:lang w:val="en-US"/>
                <w:spacing w:val="10"/>
                <w:w w:val="9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FFFFFF"/>
                <w:sz w:val="39"/>
                <w:lang w:val="en-US"/>
                <w:spacing w:val="10"/>
                <w:w w:val="90"/>
                <w:strike w:val="false"/>
                <w:vertAlign w:val="baseline"/>
                <w:rFonts w:ascii="Tahoma" w:hAnsi="Tahoma"/>
              </w:rPr>
              <w:t xml:space="preserve">eta</w:t>
            </w:r>
            <w:r>
              <w:rPr>
                <w:b w:val="true"/>
                <w:color w:val="#FFFFFF"/>
                <w:sz w:val="52"/>
                <w:lang w:val="en-US"/>
                <w:spacing w:val="0"/>
                <w:w w:val="55"/>
                <w:strike w:val="false"/>
                <w:vertAlign w:val="baseline"/>
                <w:rFonts w:ascii="Arial" w:hAnsi="Arial"/>
              </w:rPr>
              <w:t xml:space="preserve">l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  <w:vMerge w:val="restart"/>
          </w:tcPr>
          <w:p>
            <w:pPr>
              <w:ind w:right="52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4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4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crap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1880" w:type="auto"/>
            <w:textDirection w:val="lrTb"/>
            <w:vAlign w:val="center"/>
            <w:vMerge w:val="continue"/>
          </w:tcPr>
          <w:p/>
        </w:tc>
      </w:tr>
      <w:tr>
        <w:trPr>
          <w:trHeight w:val="125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1880" w:type="auto"/>
            <w:textDirection w:val="lrTb"/>
            <w:vAlign w:val="center"/>
            <w:vMerge w:val="continue"/>
          </w:tcPr>
          <w:p/>
        </w:tc>
      </w:tr>
    </w:tbl>
    <w:p>
      <w:pPr>
        <w:spacing w:before="0" w:after="160" w:line="20" w:lineRule="exact"/>
      </w:pPr>
    </w:p>
    <w:p>
      <w:pPr>
        <w:ind w:right="0" w:left="1512" w:firstLine="0"/>
        <w:spacing w:before="0" w:after="0" w:line="360" w:lineRule="auto"/>
        <w:jc w:val="left"/>
        <w:tabs>
          <w:tab w:val="right" w:leader="none" w:pos="11093"/>
        </w:tabs>
        <w:rPr>
          <w:color w:val="#FFFFFF"/>
          <w:sz w:val="23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23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griosa &amp; promoters showcase t	</w:t>
      </w:r>
      <w:r>
        <w:rPr>
          <w:color w:val="#FFFFFF"/>
          <w:sz w:val="23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facilities and equipment to process, load and</w:t>
      </w:r>
    </w:p>
    <w:p>
      <w:pPr>
        <w:ind w:right="720" w:left="1512" w:firstLine="0"/>
        <w:spacing w:before="0" w:after="2772" w:line="360" w:lineRule="auto"/>
        <w:jc w:val="left"/>
        <w:rPr>
          <w:color w:val="#FFFFFF"/>
          <w:sz w:val="23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23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weigh multi-container shipments of scrap metals. We aggrisevely deals in Ferrous Products Non-Ferrous Products, Steelworks, Copperworks and Real Steel</w:t>
      </w:r>
    </w:p>
    <w:p>
      <w:pPr>
        <w:ind w:right="14" w:left="0"/>
        <w:spacing w:before="0" w:after="0" w:line="240" w:lineRule="auto"/>
        <w:jc w:val="center"/>
      </w:pPr>
      <w:r>
        <w:drawing>
          <wp:inline>
            <wp:extent cx="7534910" cy="6693535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7534910" cy="66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8" w:h="16854" w:orient="portrait"/>
      <w:type w:val="nextPage"/>
      <w:textDirection w:val="lrTb"/>
      <w:pgMar w:bottom="112" w:top="720" w:right="0" w:left="2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