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X-StreamRAG: Explainable Time-Aware Streaming RAG for Real-Time Video Event Detection</w:t>
      </w:r>
    </w:p>
    <w:p>
      <w:pPr>
        <w:jc w:val="center"/>
      </w:pPr>
      <w:r>
        <w:rPr>
          <w:rFonts w:ascii="Times New Roman" w:cs="Times New Roman" w:eastAsia="Times New Roman" w:hAnsi="Times New Roman"/>
          <w:sz w:val="22"/>
          <w:szCs w:val="22"/>
          <w:highlight w:val="yellow"/>
          <w:highlightCs w:val="yellow"/>
        </w:rPr>
        <w:t xml:space="preserve">[Member 1], [Member 2], [Member 3], [Member 4]</w:t>
      </w:r>
    </w:p>
    <w:p>
      <w:pPr>
        <w:jc w:val="center"/>
      </w:pPr>
      <w:r>
        <w:rPr>
          <w:rFonts w:ascii="Times New Roman" w:cs="Times New Roman" w:eastAsia="Times New Roman" w:hAnsi="Times New Roman"/>
          <w:i/>
          <w:iCs/>
          <w:sz w:val="20"/>
          <w:szCs w:val="20"/>
        </w:rPr>
        <w:t xml:space="preserve">IOE413 Streaming Data Analytics, Group 15 (Topic 7)</w:t>
      </w:r>
    </w:p>
    <w:p>
      <w:pPr>
        <w:jc w:val="center"/>
      </w:pPr>
      <w:r>
        <w:rPr>
          <w:rFonts w:ascii="Times New Roman" w:cs="Times New Roman" w:eastAsia="Times New Roman" w:hAnsi="Times New Roman"/>
          <w:sz w:val="22"/>
          <w:szCs w:val="22"/>
          <w:highlight w:val="yellow"/>
          <w:highlightCs w:val="yellow"/>
        </w:rPr>
        <w:t xml:space="preserve">[Department, Institute]</w:t>
      </w:r>
    </w:p>
    <w:p>
      <w:pPr>
        <w:spacing w:after="160"/>
        <w:jc w:val="center"/>
      </w:pPr>
      <w:r>
        <w:rPr>
          <w:rFonts w:ascii="Times New Roman" w:cs="Times New Roman" w:eastAsia="Times New Roman" w:hAnsi="Times New Roman"/>
          <w:sz w:val="22"/>
          <w:szCs w:val="22"/>
          <w:highlight w:val="yellow"/>
          <w:highlightCs w:val="yellow"/>
        </w:rPr>
        <w:t xml:space="preserve">[emails]</w:t>
      </w:r>
    </w:p>
    <w:p>
      <w:pPr>
        <w:keepNext/>
        <w:spacing w:before="120"/>
        <w:jc w:val="center"/>
      </w:pPr>
      <w:r>
        <w:drawing>
          <wp:inline distT="0" distB="0" distL="0" distR="0">
            <wp:extent cx="6572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572250" cy="2438400"/>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X-StreamRAG architecture. Each box is a separate process and every arrow is a Kafka topic; Prometheus scrapes every service and the Streamlit dashboard consumes the output topics.</w:t>
      </w:r>
    </w:p>
    <w:p>
      <w:pPr>
        <w:sectPr>
          <w:pgSz w:w="12240" w:h="15840" w:orient="portrait"/>
          <w:pgMar w:top="1080" w:right="900" w:bottom="1440" w:left="900"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—Retrieval-augmented generation (RAG) over live video can explain what happens in a traffic camera stream, but existing streaming RAG systems decide on single frames or fixed windows and give no evidence for why an alert was raised. We present X-StreamRAG, a streaming pipeline of five independent services that communicate only through Apache Kafka topics. A CLIP and pixel change signal drives River's ADWIN detector and a CALM/ALERT/EVENT state machine that cuts the stream into adaptive windows with a 3 s pre-event back-fill. A small vision-language model describes keyframes into a NetworkX temporal knowledge graph, FAISS, BM25 and a cross-encoder retrieve similar past windows, and a LangChain-orchestrated LLM returns a cited verdict with label-probability confidence. An off-hot-path service measures attribution, grounded coverage and counterfactual evidence removal, and every stage exports Prometheus metrics to a Streamlit dashboard. We re-implement StreamingRAG as a frame-level baseline and compare both systems on 14 traffic clips replayed through Kafka on a CPU-only laptop. The baseline detects more: F1 0.92 (recall 1.00, but both normal clips flagged) against 0.70 for X-StreamRAG (recall 0.58), a difference that is not significant (McNemar p = 0.22). X-StreamRAG makes 8× fewer LLM calls, sends 32% fewer keyframes per minute to the VLM and retrieves more relevant evidence (P@5 0.89 vs. 0.58), and removing its top-attributed evidence lowers confidence 2.7–4× more than random removal. We trace every missed detection to a window-count debounce on short clips, and report that the LLM cited no evidence in its explanations.</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—streaming analytics, retrieval-augmented generation, video event detection, adaptive windowing, explainability, Kafka</w:t>
      </w:r>
    </w:p>
    <w:p>
      <w:pPr>
        <w:pStyle w:val="Heading1"/>
      </w:pPr>
      <w:r>
        <w:rPr>
          <w:rFonts w:ascii="Times New Roman" w:cs="Times New Roman" w:eastAsia="Times New Roman" w:hAnsi="Times New Roman"/>
        </w:rPr>
        <w:t xml:space="preserve">I. Introduction</w:t>
      </w:r>
    </w:p>
    <w:p>
      <w:pPr>
        <w:ind w:firstLine="202"/>
        <w:jc w:val="both"/>
      </w:pPr>
      <w:r>
        <w:rPr>
          <w:rFonts w:ascii="Times New Roman" w:cs="Times New Roman" w:eastAsia="Times New Roman" w:hAnsi="Times New Roman"/>
        </w:rPr>
        <w:t xml:space="preserve">Traffic surveillance produces continuous, high-velocity video in which incidents such as collisions, rollovers or fires last only a few seconds. Operators need alerts within seconds, and they need to know why an alert was raised before acting on it. Vision-language models (VLMs) and large language models (LLMs) can describe scenes in natural language, but they are far too slow to run on every frame, and black-box alerts are hard to audit.</w:t>
      </w:r>
    </w:p>
    <w:p>
      <w:pPr>
        <w:ind w:firstLine="202"/>
        <w:jc w:val="both"/>
      </w:pPr>
      <w:r>
        <w:rPr>
          <w:rFonts w:ascii="Times New Roman" w:cs="Times New Roman" w:eastAsia="Times New Roman" w:hAnsi="Times New Roman"/>
        </w:rPr>
        <w:t xml:space="preserve">Retrieval-augmented generation (RAG) grounds an LLM's answer in retrieved evidence [1]. Streaming RAG systems address the cost problem by running a lightweight VLM on selected frames and retrieving context for an LLM [2]. Time-aware RAG shows that retrieving </w:t>
      </w:r>
      <w:r>
        <w:rPr>
          <w:rFonts w:ascii="Times New Roman" w:cs="Times New Roman" w:eastAsia="Times New Roman" w:hAnsi="Times New Roman"/>
          <w:i/>
          <w:iCs/>
        </w:rPr>
        <w:t xml:space="preserve">windows</w:t>
      </w:r>
      <w:r>
        <w:rPr>
          <w:rFonts w:ascii="Times New Roman" w:cs="Times New Roman" w:eastAsia="Times New Roman" w:hAnsi="Times New Roman"/>
        </w:rPr>
        <w:t xml:space="preserve"> rather than single observations captures how a situation evolves [3]. Explainability panels for RAG expose attribution, coverage and counterfactual sensitivity [4]. No existing system combines the three ideas for multimodal streams.</w:t>
      </w:r>
    </w:p>
    <w:p>
      <w:pPr>
        <w:ind w:firstLine="202"/>
        <w:jc w:val="both"/>
      </w:pPr>
      <w:r>
        <w:rPr>
          <w:rFonts w:ascii="Times New Roman" w:cs="Times New Roman" w:eastAsia="Times New Roman" w:hAnsi="Times New Roman"/>
        </w:rPr>
        <w:t xml:space="preserve">A batch approach would struggle here for three reasons. The input is an unbounded stream that must be processed online. Window boundaries must be decided as frames arrive. And the expensive models must be scheduled under a fixed compute budget. We therefore build the pipeline on a real stream backbone (Kafka) with online change detection (River ADWIN).</w:t>
      </w:r>
    </w:p>
    <w:p>
      <w:pPr>
        <w:ind w:firstLine="202"/>
        <w:jc w:val="both"/>
      </w:pPr>
      <w:r>
        <w:rPr>
          <w:rFonts w:ascii="Times New Roman" w:cs="Times New Roman" w:eastAsia="Times New Roman" w:hAnsi="Times New Roman"/>
          <w:b/>
          <w:bCs/>
        </w:rPr>
        <w:t xml:space="preserve">Problem statement.</w:t>
      </w:r>
      <w:r>
        <w:rPr>
          <w:rFonts w:ascii="Times New Roman" w:cs="Times New Roman" w:eastAsia="Times New Roman" w:hAnsi="Times New Roman"/>
        </w:rPr>
        <w:t xml:space="preserve"> Given a live traffic video stream, detect safety-critical events (vehicle collision, rollover, fire or explosion) online under a fixed VLM budget, and attach to every alert evidence whose influence on the decision can be measured. We study four research questions: whether window-level retrieval beats frame-level retrieval (RQ1); whether attribution identifies the evidence that caused a prediction (RQ2); whether adaptive windows save compute without missing short events (RQ3); and whether counterfactual removal of evidence measures how reliable an explanation is (RQ4).</w:t>
      </w:r>
    </w:p>
    <w:p>
      <w:pPr>
        <w:ind w:firstLine="202"/>
        <w:jc w:val="both"/>
      </w:pPr>
      <w:r>
        <w:rPr>
          <w:rFonts w:ascii="Times New Roman" w:cs="Times New Roman" w:eastAsia="Times New Roman" w:hAnsi="Times New Roman"/>
          <w:b/>
          <w:bCs/>
        </w:rPr>
        <w:t xml:space="preserve">Contributions.</w:t>
      </w:r>
      <w:r>
        <w:rPr>
          <w:rFonts w:ascii="Times New Roman" w:cs="Times New Roman" w:eastAsia="Times New Roman" w:hAnsi="Times New Roman"/>
        </w:rPr>
        <w:t xml:space="preserve"> (1) An end-to-end Kafka pipeline of five independent services (signal, windowing, VLM/KG, RAG, explain) that reproduces StreamingRAG's core method as a baseline. (2) An enhancement: change-point-driven adaptive windows with pre-event back-fill under a matched VLM budget, with window-level hybrid retrieval and sequence context. (3) An explainability engine for multimodal streaming evidence (E1–E6) that runs off the alert hot path. (4) A quantitative baseline-versus-enhancement comparison that reports negative results honestly.</w:t>
      </w:r>
    </w:p>
    <w:p>
      <w:pPr>
        <w:pStyle w:val="Heading1"/>
      </w:pPr>
      <w:r>
        <w:rPr>
          <w:rFonts w:ascii="Times New Roman" w:cs="Times New Roman" w:eastAsia="Times New Roman" w:hAnsi="Times New Roman"/>
        </w:rPr>
        <w:t xml:space="preserve">II. Related Work</w:t>
      </w:r>
    </w:p>
    <w:p>
      <w:pPr>
        <w:ind w:firstLine="202"/>
        <w:jc w:val="both"/>
      </w:pPr>
      <w:r>
        <w:rPr>
          <w:rFonts w:ascii="Times New Roman" w:cs="Times New Roman" w:eastAsia="Times New Roman" w:hAnsi="Times New Roman"/>
          <w:b/>
          <w:bCs/>
        </w:rPr>
        <w:t xml:space="preserve">StreamingRAG</w:t>
      </w:r>
      <w:r>
        <w:rPr>
          <w:rFonts w:ascii="Times New Roman" w:cs="Times New Roman" w:eastAsia="Times New Roman" w:hAnsi="Times New Roman"/>
        </w:rPr>
        <w:t xml:space="preserve"> [2] (Sankaradas et al., AI4Sys 2024) extracts real-time context from video with a lightweight VLM. A question bank and a </w:t>
      </w:r>
      <w:r>
        <w:rPr>
          <w:rFonts w:ascii="Times New Roman" w:cs="Times New Roman" w:eastAsia="Times New Roman" w:hAnsi="Times New Roman"/>
          <w:i/>
          <w:iCs/>
        </w:rPr>
        <w:t xml:space="preserve">Visual Query Generator</w:t>
      </w:r>
      <w:r>
        <w:rPr>
          <w:rFonts w:ascii="Times New Roman" w:cs="Times New Roman" w:eastAsia="Times New Roman" w:hAnsi="Times New Roman"/>
        </w:rPr>
        <w:t xml:space="preserve"> choose the next questions from the current knowledge-graph state, and an LLM answers standing queries such as “alert on a collision between vehicles and people”. Evaluated on intelligent-transportation videos (6 videos, 8 events), it detected 7 of 8 events against 1 of 8 for a caption-every-frame baseline, at about 8 fps. For our purposes its gap is that retrieval and decisions are frame-level, the scheduler is not published, and there is no evidence attribution.</w:t>
      </w:r>
    </w:p>
    <w:p>
      <w:pPr>
        <w:ind w:firstLine="202"/>
        <w:jc w:val="both"/>
      </w:pPr>
      <w:r>
        <w:rPr>
          <w:rFonts w:ascii="Times New Roman" w:cs="Times New Roman" w:eastAsia="Times New Roman" w:hAnsi="Times New Roman"/>
          <w:b/>
          <w:bCs/>
        </w:rPr>
        <w:t xml:space="preserve">TD-RAG</w:t>
      </w:r>
      <w:r>
        <w:rPr>
          <w:rFonts w:ascii="Times New Roman" w:cs="Times New Roman" w:eastAsia="Times New Roman" w:hAnsi="Times New Roman"/>
        </w:rPr>
        <w:t xml:space="preserve"> [3] (Xu et al., CyberSciTech 2025) embeds 6 h sliding windows of AirQualityUCI sensor data as text and retrieves the top-5 most similar historical windows under a 90-day recency constraint, reaching 93.3% accuracy against 80.0% for vanilla RAG. Its gap is that windows have a fixed length and the data is a low-rate numeric stream, not video.</w:t>
      </w:r>
    </w:p>
    <w:p>
      <w:pPr>
        <w:ind w:firstLine="202"/>
        <w:jc w:val="both"/>
      </w:pPr>
      <w:r>
        <w:rPr>
          <w:rFonts w:ascii="Times New Roman" w:cs="Times New Roman" w:eastAsia="Times New Roman" w:hAnsi="Times New Roman"/>
          <w:b/>
          <w:bCs/>
        </w:rPr>
        <w:t xml:space="preserve">CityCopilot-X</w:t>
      </w:r>
      <w:r>
        <w:rPr>
          <w:rFonts w:ascii="Times New Roman" w:cs="Times New Roman" w:eastAsia="Times New Roman" w:hAnsi="Times New Roman"/>
        </w:rPr>
        <w:t xml:space="preserve"> [4] (Gudipati et al., ICAIC 2026) is a real-time explainability panel for civic text RAG. It offers rewrite, retrieval and rerank attribution, token-level grounded coverage, counterfactual evidence removal (Δconfidence, Δcoverage), drift monitoring and a Prometheus/OpenTelemetry audit bus. In a 24-task pilot it cut post-hoc correction time by 31% and raised citation coverage by 18 points. Its gap is that it works on text documents only.</w:t>
      </w:r>
    </w:p>
    <w:p>
      <w:pPr>
        <w:keepNext/>
        <w:spacing w:before="16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Base papers and what this work takes from them</w:t>
      </w:r>
    </w:p>
    <w:tbl>
      <w:tblPr>
        <w:tblW w:type="dxa" w:w="50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1700"/>
        <w:gridCol w:w="2100"/>
      </w:tblGrid>
      <w:tr>
        <w:trPr>
          <w:tblHeader/>
        </w:trPr>
        <w:tc>
          <w:tcPr>
            <w:tcW w:type="dxa" w:w="125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Paper</w:t>
            </w:r>
          </w:p>
        </w:tc>
        <w:tc>
          <w:tcPr>
            <w:tcW w:type="dxa" w:w="170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Data / metrics</w:t>
            </w:r>
          </w:p>
        </w:tc>
        <w:tc>
          <w:tcPr>
            <w:tcW w:type="dxa" w:w="210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Taken / gap addressed</w:t>
            </w:r>
          </w:p>
        </w:tc>
      </w:tr>
      <w:tr>
        <w:tc>
          <w:tcPr>
            <w:tcW w:type="dxa" w:w="12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StreamingRAG [2]</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6 ITS videos; events detected, fps</w:t>
            </w:r>
          </w:p>
        </w:tc>
        <w:tc>
          <w:tcPr>
            <w:tcW w:type="dxa" w:w="21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VLM + question bank + VQG + KG; frame-level only, no attribution</w:t>
            </w:r>
          </w:p>
        </w:tc>
      </w:tr>
      <w:tr>
        <w:tc>
          <w:tcPr>
            <w:tcW w:type="dxa" w:w="12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TD-RAG [3]</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AirQualityUCI; accuracy</w:t>
            </w:r>
          </w:p>
        </w:tc>
        <w:tc>
          <w:tcPr>
            <w:tcW w:type="dxa" w:w="21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window kNN, top-5, recency; fixed windows, numeric data</w:t>
            </w:r>
          </w:p>
        </w:tc>
      </w:tr>
      <w:tr>
        <w:tc>
          <w:tcPr>
            <w:tcW w:type="dxa" w:w="125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CityCopilot-X [4]</w:t>
            </w:r>
          </w:p>
        </w:tc>
        <w:tc>
          <w:tcPr>
            <w:tcW w:type="dxa" w:w="17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24 civic tasks; coverage, correction time</w:t>
            </w:r>
          </w:p>
        </w:tc>
        <w:tc>
          <w:tcPr>
            <w:tcW w:type="dxa" w:w="21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attribution, coverage, counterfactuals; text only</w:t>
            </w:r>
          </w:p>
        </w:tc>
      </w:tr>
    </w:tbl>
    <w:p>
      <w:pPr>
        <w:spacing w:after="120"/>
      </w:pPr>
    </w:p>
    <w:p>
      <w:pPr>
        <w:ind w:firstLine="202"/>
        <w:jc w:val="both"/>
      </w:pPr>
      <w:r>
        <w:rPr>
          <w:rFonts w:ascii="Times New Roman" w:cs="Times New Roman" w:eastAsia="Times New Roman" w:hAnsi="Times New Roman"/>
          <w:b/>
          <w:bCs/>
        </w:rPr>
        <w:t xml:space="preserve">Gap.</w:t>
      </w:r>
      <w:r>
        <w:rPr>
          <w:rFonts w:ascii="Times New Roman" w:cs="Times New Roman" w:eastAsia="Times New Roman" w:hAnsi="Times New Roman"/>
        </w:rPr>
        <w:t xml:space="preserve"> No prior system adapts its windows to scene changes in a video stream and also measures how faithful its explanations are. We target this gap. Recent work such as StreamRAG [5] also segments streams into events for retrieval, but does not report counterfactual faithfulness.</w:t>
      </w:r>
    </w:p>
    <w:p>
      <w:pPr>
        <w:pStyle w:val="Heading1"/>
      </w:pPr>
      <w:r>
        <w:rPr>
          <w:rFonts w:ascii="Times New Roman" w:cs="Times New Roman" w:eastAsia="Times New Roman" w:hAnsi="Times New Roman"/>
        </w:rPr>
        <w:t xml:space="preserve">III. System Architecture</w:t>
      </w:r>
    </w:p>
    <w:p>
      <w:pPr>
        <w:ind w:firstLine="202"/>
        <w:jc w:val="both"/>
      </w:pPr>
      <w:r>
        <w:rPr>
          <w:rFonts w:ascii="Times New Roman" w:cs="Times New Roman" w:eastAsia="Times New Roman" w:hAnsi="Times New Roman"/>
        </w:rPr>
        <w:t xml:space="preserve">Fig. 1 shows the pipeline. A </w:t>
      </w:r>
      <w:r>
        <w:rPr>
          <w:rFonts w:ascii="Times New Roman" w:cs="Times New Roman" w:eastAsia="Times New Roman" w:hAnsi="Times New Roman"/>
          <w:b/>
          <w:bCs/>
        </w:rPr>
        <w:t xml:space="preserve">replay producer</w:t>
      </w:r>
      <w:r>
        <w:rPr>
          <w:rFonts w:ascii="Times New Roman" w:cs="Times New Roman" w:eastAsia="Times New Roman" w:hAnsi="Times New Roman"/>
        </w:rPr>
        <w:t xml:space="preserve"> (OpenCV) reads a video file, webcam or RTSP source and publishes each frame as a JPEG (640 px wide) to the topic </w:t>
      </w:r>
      <w:r>
        <w:rPr>
          <w:rFonts w:ascii="Courier New" w:cs="Courier New" w:eastAsia="Courier New" w:hAnsi="Courier New"/>
          <w:sz w:val="18"/>
          <w:szCs w:val="18"/>
        </w:rPr>
        <w:t xml:space="preserve">frames.raw</w:t>
      </w:r>
      <w:r>
        <w:rPr>
          <w:rFonts w:ascii="Times New Roman" w:cs="Times New Roman" w:eastAsia="Times New Roman" w:hAnsi="Times New Roman"/>
        </w:rPr>
        <w:t xml:space="preserve">, released at the source's native frame rate. Messages are keyed by </w:t>
      </w:r>
      <w:r>
        <w:rPr>
          <w:rFonts w:ascii="Courier New" w:cs="Courier New" w:eastAsia="Courier New" w:hAnsi="Courier New"/>
          <w:sz w:val="18"/>
          <w:szCs w:val="18"/>
        </w:rPr>
        <w:t xml:space="preserve">source_id</w:t>
      </w:r>
      <w:r>
        <w:rPr>
          <w:rFonts w:ascii="Times New Roman" w:cs="Times New Roman" w:eastAsia="Times New Roman" w:hAnsi="Times New Roman"/>
        </w:rPr>
        <w:t xml:space="preserve">, and headers carry the frame id, video timestamp and ingest timestamp. Each downstream stage is an independent consumer/producer process with its own consumer group: </w:t>
      </w:r>
      <w:r>
        <w:rPr>
          <w:rFonts w:ascii="Courier New" w:cs="Courier New" w:eastAsia="Courier New" w:hAnsi="Courier New"/>
          <w:sz w:val="18"/>
          <w:szCs w:val="18"/>
        </w:rPr>
        <w:t xml:space="preserve">frames.raw</w:t>
      </w:r>
      <w:r>
        <w:rPr>
          <w:rFonts w:ascii="Times New Roman" w:cs="Times New Roman" w:eastAsia="Times New Roman" w:hAnsi="Times New Roman"/>
        </w:rPr>
        <w:t xml:space="preserve"> → signal → </w:t>
      </w:r>
      <w:r>
        <w:rPr>
          <w:rFonts w:ascii="Courier New" w:cs="Courier New" w:eastAsia="Courier New" w:hAnsi="Courier New"/>
          <w:sz w:val="18"/>
          <w:szCs w:val="18"/>
        </w:rPr>
        <w:t xml:space="preserve">frames.signal</w:t>
      </w:r>
      <w:r>
        <w:rPr>
          <w:rFonts w:ascii="Times New Roman" w:cs="Times New Roman" w:eastAsia="Times New Roman" w:hAnsi="Times New Roman"/>
        </w:rPr>
        <w:t xml:space="preserve"> → windowing → </w:t>
      </w:r>
      <w:r>
        <w:rPr>
          <w:rFonts w:ascii="Courier New" w:cs="Courier New" w:eastAsia="Courier New" w:hAnsi="Courier New"/>
          <w:sz w:val="18"/>
          <w:szCs w:val="18"/>
        </w:rPr>
        <w:t xml:space="preserve">windows.keyframes</w:t>
      </w:r>
      <w:r>
        <w:rPr>
          <w:rFonts w:ascii="Times New Roman" w:cs="Times New Roman" w:eastAsia="Times New Roman" w:hAnsi="Times New Roman"/>
        </w:rPr>
        <w:t xml:space="preserve"> → VLM/KG → </w:t>
      </w:r>
      <w:r>
        <w:rPr>
          <w:rFonts w:ascii="Courier New" w:cs="Courier New" w:eastAsia="Courier New" w:hAnsi="Courier New"/>
          <w:sz w:val="18"/>
          <w:szCs w:val="18"/>
        </w:rPr>
        <w:t xml:space="preserve">windows.closed</w:t>
      </w:r>
      <w:r>
        <w:rPr>
          <w:rFonts w:ascii="Times New Roman" w:cs="Times New Roman" w:eastAsia="Times New Roman" w:hAnsi="Times New Roman"/>
        </w:rPr>
        <w:t xml:space="preserve"> → RAG → </w:t>
      </w:r>
      <w:r>
        <w:rPr>
          <w:rFonts w:ascii="Courier New" w:cs="Courier New" w:eastAsia="Courier New" w:hAnsi="Courier New"/>
          <w:sz w:val="18"/>
          <w:szCs w:val="18"/>
        </w:rPr>
        <w:t xml:space="preserve">events.detected</w:t>
      </w:r>
      <w:r>
        <w:rPr>
          <w:rFonts w:ascii="Times New Roman" w:cs="Times New Roman" w:eastAsia="Times New Roman" w:hAnsi="Times New Roman"/>
        </w:rPr>
        <w:t xml:space="preserve"> → explain → </w:t>
      </w:r>
      <w:r>
        <w:rPr>
          <w:rFonts w:ascii="Courier New" w:cs="Courier New" w:eastAsia="Courier New" w:hAnsi="Courier New"/>
          <w:sz w:val="18"/>
          <w:szCs w:val="18"/>
        </w:rPr>
        <w:t xml:space="preserve">events.explained</w:t>
      </w:r>
      <w:r>
        <w:rPr>
          <w:rFonts w:ascii="Times New Roman" w:cs="Times New Roman" w:eastAsia="Times New Roman" w:hAnsi="Times New Roman"/>
        </w:rPr>
        <w:t xml:space="preserve">. An end-of-stream marker propagates through all topics so that each stage flushes its per-source state.</w:t>
      </w:r>
    </w:p>
    <w:p>
      <w:pPr>
        <w:ind w:firstLine="202"/>
        <w:jc w:val="both"/>
      </w:pPr>
      <w:r>
        <w:rPr>
          <w:rFonts w:ascii="Times New Roman" w:cs="Times New Roman" w:eastAsia="Times New Roman" w:hAnsi="Times New Roman"/>
          <w:b/>
          <w:bCs/>
        </w:rPr>
        <w:t xml:space="preserve">Signal service.</w:t>
      </w:r>
      <w:r>
        <w:rPr>
          <w:rFonts w:ascii="Times New Roman" w:cs="Times New Roman" w:eastAsia="Times New Roman" w:hAnsi="Times New Roman"/>
        </w:rPr>
        <w:t xml:space="preserve"> At about 10 fps it computes the change signal</w:t>
      </w:r>
    </w:p>
    <w:p>
      <w:pPr>
        <w:tabs>
          <w:tab w:val="center" w:pos="2549"/>
          <w:tab w:val="right" w:pos="5097"/>
        </w:tabs>
        <w:spacing w:before="80" w:after="80"/>
      </w:pPr>
      <w:r>
        <w:rPr>
          <w:rFonts w:ascii="Times New Roman" w:cs="Times New Roman" w:eastAsia="Times New Roman" w:hAnsi="Times New Roman"/>
        </w:rPr>
        <w:t xml:space="preserve">	</w:t>
      </w:r>
      <w:r>
        <w:rPr>
          <w:rFonts w:ascii="Times New Roman" w:cs="Times New Roman" w:eastAsia="Times New Roman" w:hAnsi="Times New Roman"/>
          <w:i/>
          <w:iCs/>
        </w:rPr>
        <w:t xml:space="preserve">a</w:t>
      </w:r>
      <w:r>
        <w:rPr>
          <w:rFonts w:ascii="Times New Roman" w:cs="Times New Roman" w:eastAsia="Times New Roman" w:hAnsi="Times New Roman"/>
          <w:i w:val="false"/>
          <w:iCs w:val="false"/>
          <w:vertAlign w:val="subscript"/>
        </w:rPr>
        <w:t xml:space="preserve">t</w:t>
      </w:r>
      <w:r>
        <w:rPr>
          <w:rFonts w:ascii="Times New Roman" w:cs="Times New Roman" w:eastAsia="Times New Roman" w:hAnsi="Times New Roman"/>
          <w:i w:val="false"/>
          <w:iCs w:val="false"/>
        </w:rPr>
        <w:t xml:space="preserve"> = 0.6 (1 − cos(</w:t>
      </w:r>
      <w:r>
        <w:rPr>
          <w:rFonts w:ascii="Times New Roman" w:cs="Times New Roman" w:eastAsia="Times New Roman" w:hAnsi="Times New Roman"/>
          <w:b/>
          <w:bCs/>
          <w:i w:val="false"/>
          <w:iCs w:val="false"/>
        </w:rPr>
        <w:t xml:space="preserve">c</w:t>
      </w:r>
      <w:r>
        <w:rPr>
          <w:rFonts w:ascii="Times New Roman" w:cs="Times New Roman" w:eastAsia="Times New Roman" w:hAnsi="Times New Roman"/>
          <w:i w:val="false"/>
          <w:iCs w:val="false"/>
          <w:vertAlign w:val="subscript"/>
        </w:rPr>
        <w:t xml:space="preserve">t</w:t>
      </w:r>
      <w:r>
        <w:rPr>
          <w:rFonts w:ascii="Times New Roman" w:cs="Times New Roman" w:eastAsia="Times New Roman" w:hAnsi="Times New Roman"/>
          <w:i w:val="false"/>
          <w:iCs w:val="false"/>
        </w:rPr>
        <w:t xml:space="preserve">, </w:t>
      </w:r>
      <w:r>
        <w:rPr>
          <w:rFonts w:ascii="Times New Roman" w:cs="Times New Roman" w:eastAsia="Times New Roman" w:hAnsi="Times New Roman"/>
          <w:b/>
          <w:bCs/>
          <w:i w:val="false"/>
          <w:iCs w:val="false"/>
        </w:rPr>
        <w:t xml:space="preserve">c</w:t>
      </w:r>
      <w:r>
        <w:rPr>
          <w:rFonts w:ascii="Times New Roman" w:cs="Times New Roman" w:eastAsia="Times New Roman" w:hAnsi="Times New Roman"/>
          <w:i w:val="false"/>
          <w:iCs w:val="false"/>
          <w:vertAlign w:val="subscript"/>
        </w:rPr>
        <w:t xml:space="preserve">t−1</w:t>
      </w:r>
      <w:r>
        <w:rPr>
          <w:rFonts w:ascii="Times New Roman" w:cs="Times New Roman" w:eastAsia="Times New Roman" w:hAnsi="Times New Roman"/>
          <w:i w:val="false"/>
          <w:iCs w:val="false"/>
        </w:rPr>
        <w:t xml:space="preserve">)) + 0.4 · mean|</w:t>
      </w:r>
      <w:r>
        <w:rPr>
          <w:rFonts w:ascii="Times New Roman" w:cs="Times New Roman" w:eastAsia="Times New Roman" w:hAnsi="Times New Roman"/>
          <w:i/>
          <w:iCs/>
        </w:rPr>
        <w:t xml:space="preserve">g</w:t>
      </w:r>
      <w:r>
        <w:rPr>
          <w:rFonts w:ascii="Times New Roman" w:cs="Times New Roman" w:eastAsia="Times New Roman" w:hAnsi="Times New Roman"/>
          <w:i w:val="false"/>
          <w:iCs w:val="false"/>
          <w:vertAlign w:val="subscript"/>
        </w:rPr>
        <w:t xml:space="preserve">t</w:t>
      </w:r>
      <w:r>
        <w:rPr>
          <w:rFonts w:ascii="Times New Roman" w:cs="Times New Roman" w:eastAsia="Times New Roman" w:hAnsi="Times New Roman"/>
          <w:i w:val="false"/>
          <w:iCs w:val="false"/>
        </w:rPr>
        <w:t xml:space="preserve"> − </w:t>
      </w:r>
      <w:r>
        <w:rPr>
          <w:rFonts w:ascii="Times New Roman" w:cs="Times New Roman" w:eastAsia="Times New Roman" w:hAnsi="Times New Roman"/>
          <w:i/>
          <w:iCs/>
        </w:rPr>
        <w:t xml:space="preserve">g</w:t>
      </w:r>
      <w:r>
        <w:rPr>
          <w:rFonts w:ascii="Times New Roman" w:cs="Times New Roman" w:eastAsia="Times New Roman" w:hAnsi="Times New Roman"/>
          <w:i w:val="false"/>
          <w:iCs w:val="false"/>
          <w:vertAlign w:val="subscript"/>
        </w:rPr>
        <w:t xml:space="preserve">t−1</w:t>
      </w:r>
      <w:r>
        <w:rPr>
          <w:rFonts w:ascii="Times New Roman" w:cs="Times New Roman" w:eastAsia="Times New Roman" w:hAnsi="Times New Roman"/>
          <w:i w:val="false"/>
          <w:iCs w:val="false"/>
        </w:rPr>
        <w:t xml:space="preserve">| / 255</w:t>
      </w:r>
      <w:r>
        <w:rPr>
          <w:rFonts w:ascii="Times New Roman" w:cs="Times New Roman" w:eastAsia="Times New Roman" w:hAnsi="Times New Roman"/>
        </w:rPr>
        <w:t xml:space="preserve">	(1)</w:t>
      </w:r>
    </w:p>
    <w:p>
      <w:pPr>
        <w:jc w:val="both"/>
      </w:pPr>
      <w:r>
        <w:rPr>
          <w:rFonts w:ascii="Times New Roman" w:cs="Times New Roman" w:eastAsia="Times New Roman" w:hAnsi="Times New Roman"/>
        </w:rPr>
        <w:t xml:space="preserve">where </w:t>
      </w:r>
      <w:r>
        <w:rPr>
          <w:rFonts w:ascii="Times New Roman" w:cs="Times New Roman" w:eastAsia="Times New Roman" w:hAnsi="Times New Roman"/>
          <w:b/>
          <w:b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the CLIP ViT-B/32 image embedding [6] and </w:t>
      </w:r>
      <w:r>
        <w:rPr>
          <w:rFonts w:ascii="Times New Roman" w:cs="Times New Roman" w:eastAsia="Times New Roman" w:hAnsi="Times New Roman"/>
          <w:i/>
          <w:iCs/>
        </w:rPr>
        <w:t xml:space="preserve">g</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 downscaled grey image. The CLIP embedding is forwarded and reused later for visual retrieval.</w:t>
      </w:r>
    </w:p>
    <w:p>
      <w:pPr>
        <w:ind w:firstLine="202"/>
        <w:jc w:val="both"/>
      </w:pPr>
      <w:r>
        <w:rPr>
          <w:rFonts w:ascii="Times New Roman" w:cs="Times New Roman" w:eastAsia="Times New Roman" w:hAnsi="Times New Roman"/>
          <w:b/>
          <w:bCs/>
        </w:rPr>
        <w:t xml:space="preserve">Windowing service</w:t>
      </w:r>
      <w:r>
        <w:rPr>
          <w:rFonts w:ascii="Times New Roman" w:cs="Times New Roman" w:eastAsia="Times New Roman" w:hAnsi="Times New Roman"/>
        </w:rPr>
        <w:t xml:space="preserve"> (Sec. IV). It owns the 3 s ring buffer and emits closed windows with their keyframes.</w:t>
      </w:r>
    </w:p>
    <w:p>
      <w:pPr>
        <w:ind w:firstLine="202"/>
        <w:jc w:val="both"/>
      </w:pPr>
      <w:r>
        <w:rPr>
          <w:rFonts w:ascii="Times New Roman" w:cs="Times New Roman" w:eastAsia="Times New Roman" w:hAnsi="Times New Roman"/>
          <w:b/>
          <w:bCs/>
        </w:rPr>
        <w:t xml:space="preserve">VLM/KG service.</w:t>
      </w:r>
      <w:r>
        <w:rPr>
          <w:rFonts w:ascii="Times New Roman" w:cs="Times New Roman" w:eastAsia="Times New Roman" w:hAnsi="Times New Roman"/>
        </w:rPr>
        <w:t xml:space="preserve"> SmolVLM-256M-Instruct [7] writes one caption per keyframe and answers up to five questions from a hand-written traffic knowledge base. Yes/no answers are scored as </w:t>
      </w:r>
      <w:r>
        <w:rPr>
          <w:rFonts w:ascii="Times New Roman" w:cs="Times New Roman" w:eastAsia="Times New Roman" w:hAnsi="Times New Roman"/>
          <w:i/>
          <w:iCs/>
        </w:rPr>
        <w:t xml:space="preserve">P</w:t>
      </w:r>
      <w:r>
        <w:rPr>
          <w:rFonts w:ascii="Times New Roman" w:cs="Times New Roman" w:eastAsia="Times New Roman" w:hAnsi="Times New Roman"/>
        </w:rPr>
        <w:t xml:space="preserve">(yes) from next-token logits. A rule-based Visual Query Generator,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t+k</w:t>
      </w:r>
      <w:r>
        <w:rPr>
          <w:rFonts w:ascii="Times New Roman" w:cs="Times New Roman" w:eastAsia="Times New Roman" w:hAnsi="Times New Roman"/>
        </w:rPr>
        <w:t xml:space="preserve"> = VQG(</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w:t>
      </w:r>
      <w:r>
        <w:rPr>
          <w:rFonts w:ascii="Times New Roman" w:cs="Times New Roman" w:eastAsia="Times New Roman" w:hAnsi="Times New Roman"/>
          <w:i/>
          <w:iCs/>
        </w:rPr>
        <w:t xml:space="preserve">KB</w:t>
      </w:r>
      <w:r>
        <w:rPr>
          <w:rFonts w:ascii="Times New Roman" w:cs="Times New Roman" w:eastAsia="Times New Roman" w:hAnsi="Times New Roman"/>
        </w:rPr>
        <w:t xml:space="preserve">), adds follow-up questions; for example, “two vehicles touching = yes” leads to asking whether a person is lying near the vehicles. Answers become triples in a NetworkX temporal KG with stable IDs (e.g. T17), and nodes older than 120 s are pruned. Every VLM call is cached in SQLite.</w:t>
      </w:r>
    </w:p>
    <w:p>
      <w:pPr>
        <w:ind w:firstLine="202"/>
        <w:jc w:val="both"/>
      </w:pPr>
      <w:r>
        <w:rPr>
          <w:rFonts w:ascii="Times New Roman" w:cs="Times New Roman" w:eastAsia="Times New Roman" w:hAnsi="Times New Roman"/>
          <w:b/>
          <w:bCs/>
        </w:rPr>
        <w:t xml:space="preserve">RAG service.</w:t>
      </w:r>
      <w:r>
        <w:rPr>
          <w:rFonts w:ascii="Times New Roman" w:cs="Times New Roman" w:eastAsia="Times New Roman" w:hAnsi="Times New Roman"/>
        </w:rPr>
        <w:t xml:space="preserve"> It embeds the window's text summary with bge-small-en-v1.5 and fuses it with the mean CLIP embedding (</w:t>
      </w:r>
      <w:r>
        <w:rPr>
          <w:rFonts w:ascii="Times New Roman" w:cs="Times New Roman" w:eastAsia="Times New Roman" w:hAnsi="Times New Roman"/>
          <w:i/>
          <w:iCs/>
        </w:rPr>
        <w:t xml:space="preserve">s</w:t>
      </w:r>
      <w:r>
        <w:rPr>
          <w:rFonts w:ascii="Times New Roman" w:cs="Times New Roman" w:eastAsia="Times New Roman" w:hAnsi="Times New Roman"/>
        </w:rPr>
        <w:t xml:space="preserve"> = 0.7 cos</w:t>
      </w:r>
      <w:r>
        <w:rPr>
          <w:rFonts w:ascii="Times New Roman" w:cs="Times New Roman" w:eastAsia="Times New Roman" w:hAnsi="Times New Roman"/>
          <w:vertAlign w:val="subscript"/>
        </w:rPr>
        <w:t xml:space="preserve">text</w:t>
      </w:r>
      <w:r>
        <w:rPr>
          <w:rFonts w:ascii="Times New Roman" w:cs="Times New Roman" w:eastAsia="Times New Roman" w:hAnsi="Times New Roman"/>
        </w:rPr>
        <w:t xml:space="preserve"> + 0.3 cos</w:t>
      </w:r>
      <w:r>
        <w:rPr>
          <w:rFonts w:ascii="Times New Roman" w:cs="Times New Roman" w:eastAsia="Times New Roman" w:hAnsi="Times New Roman"/>
          <w:vertAlign w:val="subscript"/>
        </w:rPr>
        <w:t xml:space="preserve">clip</w:t>
      </w:r>
      <w:r>
        <w:rPr>
          <w:rFonts w:ascii="Times New Roman" w:cs="Times New Roman" w:eastAsia="Times New Roman" w:hAnsi="Times New Roman"/>
        </w:rPr>
        <w:t xml:space="preserve">). Candidate evidence comes from a LangChain retriever over a FAISS HNSW case library [8] and a recency-constrained session memory, plus BM25 [9], the current window's caption/VQA units (F1, F2, …) and its KG 1-hop triples (T1, T2, …). A cross-encoder (ms-marco-MiniLM-L-6) keeps the top 8 units. A LangChain prompt → LLM → JSON chain (Qwen2.5-1.5B-Instruct) returns {event_type, start/end, sequence, explanation with [IDs]}. Confidence is never self-reported: we take a softmax over the log-probabilities of the seven label strings. An event opens when </w:t>
      </w:r>
      <w:r>
        <w:rPr>
          <w:rFonts w:ascii="Times New Roman" w:cs="Times New Roman" w:eastAsia="Times New Roman" w:hAnsi="Times New Roman"/>
          <w:i/>
          <w:iCs/>
        </w:rPr>
        <w:t xml:space="preserve">P</w:t>
      </w:r>
      <w:r>
        <w:rPr>
          <w:rFonts w:ascii="Times New Roman" w:cs="Times New Roman" w:eastAsia="Times New Roman" w:hAnsi="Times New Roman"/>
        </w:rPr>
        <w:t xml:space="preserve">(event) ≥ 0.5 in 2 of the last 3 windows and closes after 2 negative windows.</w:t>
      </w:r>
    </w:p>
    <w:p>
      <w:pPr>
        <w:ind w:firstLine="202"/>
        <w:jc w:val="both"/>
      </w:pPr>
      <w:r>
        <w:rPr>
          <w:rFonts w:ascii="Times New Roman" w:cs="Times New Roman" w:eastAsia="Times New Roman" w:hAnsi="Times New Roman"/>
          <w:b/>
          <w:bCs/>
        </w:rPr>
        <w:t xml:space="preserve">Explain service</w:t>
      </w:r>
      <w:r>
        <w:rPr>
          <w:rFonts w:ascii="Times New Roman" w:cs="Times New Roman" w:eastAsia="Times New Roman" w:hAnsi="Times New Roman"/>
        </w:rPr>
        <w:t xml:space="preserve"> (Sec. IV). It consumes </w:t>
      </w:r>
      <w:r>
        <w:rPr>
          <w:rFonts w:ascii="Courier New" w:cs="Courier New" w:eastAsia="Courier New" w:hAnsi="Courier New"/>
          <w:sz w:val="18"/>
          <w:szCs w:val="18"/>
        </w:rPr>
        <w:t xml:space="preserve">events.detected</w:t>
      </w:r>
      <w:r>
        <w:rPr>
          <w:rFonts w:ascii="Times New Roman" w:cs="Times New Roman" w:eastAsia="Times New Roman" w:hAnsi="Times New Roman"/>
        </w:rPr>
        <w:t xml:space="preserve"> off the hot path and writes one audit record per event.</w:t>
      </w:r>
    </w:p>
    <w:p>
      <w:pPr>
        <w:ind w:firstLine="202"/>
        <w:jc w:val="both"/>
      </w:pPr>
      <w:r>
        <w:rPr>
          <w:rFonts w:ascii="Times New Roman" w:cs="Times New Roman" w:eastAsia="Times New Roman" w:hAnsi="Times New Roman"/>
          <w:b/>
          <w:bCs/>
        </w:rPr>
        <w:t xml:space="preserve">Monitoring.</w:t>
      </w:r>
      <w:r>
        <w:rPr>
          <w:rFonts w:ascii="Times New Roman" w:cs="Times New Roman" w:eastAsia="Times New Roman" w:hAnsi="Times New Roman"/>
        </w:rPr>
        <w:t xml:space="preserve"> Every service exposes Prometheus metrics (frames ingested, FPS, per-stage latency histograms, VLM calls, end-to-end alert latency, window state) scraped every 1 s, plus OpenTelemetry spans per window. A Streamlit dashboard with its own Kafka consumer shows the live frame, the state badge, the </w:t>
      </w:r>
      <w:r>
        <w:rPr>
          <w:rFonts w:ascii="Times New Roman" w:cs="Times New Roman" w:eastAsia="Times New Roman" w:hAnsi="Times New Roman"/>
          <w:i/>
          <w:iCs/>
        </w:rPr>
        <w:t xml:space="preserve">a</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timeline, event cards with clickable evidence IDs, and the explainability panels.</w:t>
      </w:r>
    </w:p>
    <w:p>
      <w:pPr>
        <w:pStyle w:val="Heading1"/>
      </w:pPr>
      <w:r>
        <w:rPr>
          <w:rFonts w:ascii="Times New Roman" w:cs="Times New Roman" w:eastAsia="Times New Roman" w:hAnsi="Times New Roman"/>
        </w:rPr>
        <w:t xml:space="preserve">IV. Proposed Enhancement</w:t>
      </w:r>
    </w:p>
    <w:p>
      <w:pPr>
        <w:ind w:firstLine="202"/>
        <w:jc w:val="both"/>
      </w:pPr>
      <w:r>
        <w:rPr>
          <w:rFonts w:ascii="Times New Roman" w:cs="Times New Roman" w:eastAsia="Times New Roman" w:hAnsi="Times New Roman"/>
          <w:b/>
          <w:bCs/>
        </w:rPr>
        <w:t xml:space="preserve">What is new.</w:t>
      </w:r>
      <w:r>
        <w:rPr>
          <w:rFonts w:ascii="Times New Roman" w:cs="Times New Roman" w:eastAsia="Times New Roman" w:hAnsi="Times New Roman"/>
        </w:rPr>
        <w:t xml:space="preserve"> Relative to StreamingRAG, we replace fixed-rate frame-level decisions with change-point-driven adaptive windows and window-level hybrid retrieval, and we add a measurable explainability layer. Relative to TD-RAG, windows are adaptive rather than of fixed length, and they are applied to video. Relative to CityCopilot-X, attribution and counterfactuals operate on multimodal streaming evidence: frames, VQA answers, KG triples and past windows. The motivation is that an accident is a short </w:t>
      </w:r>
      <w:r>
        <w:rPr>
          <w:rFonts w:ascii="Times New Roman" w:cs="Times New Roman" w:eastAsia="Times New Roman" w:hAnsi="Times New Roman"/>
          <w:i/>
          <w:iCs/>
        </w:rPr>
        <w:t xml:space="preserve">sequence</w:t>
      </w:r>
      <w:r>
        <w:rPr>
          <w:rFonts w:ascii="Times New Roman" w:cs="Times New Roman" w:eastAsia="Times New Roman" w:hAnsi="Times New Roman"/>
        </w:rPr>
        <w:t xml:space="preserve"> (approach, contact, aftermath); a window that follows the scene's own change points should carry that sequence to the LLM while calm stretches cost almost nothing.</w:t>
      </w:r>
    </w:p>
    <w:p>
      <w:pPr>
        <w:ind w:firstLine="202"/>
        <w:jc w:val="both"/>
      </w:pPr>
      <w:r>
        <w:rPr>
          <w:rFonts w:ascii="Times New Roman" w:cs="Times New Roman" w:eastAsia="Times New Roman" w:hAnsi="Times New Roman"/>
          <w:b/>
          <w:bCs/>
        </w:rPr>
        <w:t xml:space="preserve">Adaptive windows.</w:t>
      </w:r>
      <w:r>
        <w:rPr>
          <w:rFonts w:ascii="Times New Roman" w:cs="Times New Roman" w:eastAsia="Times New Roman" w:hAnsi="Times New Roman"/>
        </w:rPr>
        <w:t xml:space="preserve"> ADWIN [10] (δ = 0.002) on </w:t>
      </w:r>
      <w:r>
        <w:rPr>
          <w:rFonts w:ascii="Times New Roman" w:cs="Times New Roman" w:eastAsia="Times New Roman" w:hAnsi="Times New Roman"/>
          <w:i/>
          <w:iCs/>
        </w:rPr>
        <w:t xml:space="preserve">a</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marks change points that close windows. A state machine enters ALERT when </w:t>
      </w:r>
      <w:r>
        <w:rPr>
          <w:rFonts w:ascii="Times New Roman" w:cs="Times New Roman" w:eastAsia="Times New Roman" w:hAnsi="Times New Roman"/>
          <w:i/>
          <w:iCs/>
        </w:rPr>
        <w:t xml:space="preserve">a</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&gt; μ + 3σ over a rolling 30 s window (with an absolute minimum rise of 0.02), when ADWIN fires, or when a hazard is fed back from downstream, and it returns to CALM after 10 s of calm. The CALM, ALERT and EVENT states sample 0.5, 2 and 4 keyframes/s with maximum window lengths of 16, 4 and 2 s. Within each sampling interval the frame with the highest </w:t>
      </w:r>
      <w:r>
        <w:rPr>
          <w:rFonts w:ascii="Times New Roman" w:cs="Times New Roman" w:eastAsia="Times New Roman" w:hAnsi="Times New Roman"/>
          <w:i/>
          <w:iCs/>
        </w:rPr>
        <w:t xml:space="preserve">a</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chosen (priority scheduling). Fig. 2 shows the signal, the windows and the keyframes on one clip.</w:t>
      </w:r>
    </w:p>
    <w:p>
      <w:pPr>
        <w:keepNext/>
        <w:spacing w:before="120"/>
        <w:jc w:val="center"/>
      </w:pPr>
      <w:r>
        <w:drawing>
          <wp:inline distT="0" distB="0" distL="0" distR="0">
            <wp:extent cx="32004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962025"/>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Change signal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vertAlign w:val="subscript"/>
        </w:rPr>
        <w:t xml:space="preserve">t</w:t>
      </w:r>
      <w:r>
        <w:rPr>
          <w:rFonts w:ascii="Times New Roman" w:cs="Times New Roman" w:eastAsia="Times New Roman" w:hAnsi="Times New Roman"/>
          <w:sz w:val="16"/>
          <w:szCs w:val="16"/>
        </w:rPr>
        <w:t xml:space="preserve"> on the CCTV compilation clip with B3's adaptive windows (shaded; amber = ALERT) and the keyframes sent to the VLM (ticks). Keyframes concentrate where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vertAlign w:val="subscript"/>
        </w:rPr>
        <w:t xml:space="preserve">t</w:t>
      </w:r>
      <w:r>
        <w:rPr>
          <w:rFonts w:ascii="Times New Roman" w:cs="Times New Roman" w:eastAsia="Times New Roman" w:hAnsi="Times New Roman"/>
          <w:sz w:val="16"/>
          <w:szCs w:val="16"/>
        </w:rPr>
        <w:t xml:space="preserve"> rises.</w:t>
      </w:r>
    </w:p>
    <w:p>
      <w:pPr>
        <w:ind w:firstLine="202"/>
        <w:jc w:val="both"/>
      </w:pPr>
      <w:r>
        <w:rPr>
          <w:rFonts w:ascii="Times New Roman" w:cs="Times New Roman" w:eastAsia="Times New Roman" w:hAnsi="Times New Roman"/>
          <w:b/>
          <w:bCs/>
        </w:rPr>
        <w:t xml:space="preserve">Pre-event back-fill.</w:t>
      </w:r>
      <w:r>
        <w:rPr>
          <w:rFonts w:ascii="Times New Roman" w:cs="Times New Roman" w:eastAsia="Times New Roman" w:hAnsi="Times New Roman"/>
        </w:rPr>
        <w:t xml:space="preserve"> On the CALM → ALERT transition, the two highest-</w:t>
      </w:r>
      <w:r>
        <w:rPr>
          <w:rFonts w:ascii="Times New Roman" w:cs="Times New Roman" w:eastAsia="Times New Roman" w:hAnsi="Times New Roman"/>
          <w:i/>
          <w:iCs/>
        </w:rPr>
        <w:t xml:space="preserve">a</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frames of the last 3 s are also sent to the VLM, so a 1 s collision that falls between two CALM samples is still seen.</w:t>
      </w:r>
    </w:p>
    <w:p>
      <w:pPr>
        <w:ind w:firstLine="202"/>
        <w:jc w:val="both"/>
      </w:pPr>
      <w:r>
        <w:rPr>
          <w:rFonts w:ascii="Times New Roman" w:cs="Times New Roman" w:eastAsia="Times New Roman" w:hAnsi="Times New Roman"/>
          <w:b/>
          <w:bCs/>
        </w:rPr>
        <w:t xml:space="preserve">Fair budget.</w:t>
      </w:r>
      <w:r>
        <w:rPr>
          <w:rFonts w:ascii="Times New Roman" w:cs="Times New Roman" w:eastAsia="Times New Roman" w:hAnsi="Times New Roman"/>
        </w:rPr>
        <w:t xml:space="preserve"> A token bucket limits B3 to the same average VLM keyframes per minute as the fixed-window variant (60/min), so adaptivity can only redistribute VLM calls, never add more.</w:t>
      </w:r>
    </w:p>
    <w:p>
      <w:pPr>
        <w:ind w:firstLine="202"/>
        <w:jc w:val="both"/>
      </w:pPr>
      <w:r>
        <w:rPr>
          <w:rFonts w:ascii="Times New Roman" w:cs="Times New Roman" w:eastAsia="Times New Roman" w:hAnsi="Times New Roman"/>
          <w:b/>
          <w:bCs/>
        </w:rPr>
        <w:t xml:space="preserve">Sequence context and hybrid retrieval.</w:t>
      </w:r>
      <w:r>
        <w:rPr>
          <w:rFonts w:ascii="Times New Roman" w:cs="Times New Roman" w:eastAsia="Times New Roman" w:hAnsi="Times New Roman"/>
        </w:rPr>
        <w:t xml:space="preserve"> The query is the current window plus the previous two, and dense, BM25 and KG candidates are merged and reranked. Every stage's score is logged per evidence unit.</w:t>
      </w:r>
    </w:p>
    <w:p>
      <w:pPr>
        <w:ind w:firstLine="202"/>
        <w:jc w:val="both"/>
      </w:pPr>
      <w:r>
        <w:rPr>
          <w:rFonts w:ascii="Times New Roman" w:cs="Times New Roman" w:eastAsia="Times New Roman" w:hAnsi="Times New Roman"/>
          <w:b/>
          <w:bCs/>
        </w:rPr>
        <w:t xml:space="preserve">Explainability (E1–E6).</w:t>
      </w:r>
      <w:r>
        <w:rPr>
          <w:rFonts w:ascii="Times New Roman" w:cs="Times New Roman" w:eastAsia="Times New Roman" w:hAnsi="Times New Roman"/>
        </w:rPr>
        <w:t xml:space="preserve"> E1: leave-one-out attribution </w:t>
      </w:r>
      <w:r>
        <w:rPr>
          <w:rFonts w:ascii="Times New Roman" w:cs="Times New Roman" w:eastAsia="Times New Roman" w:hAnsi="Times New Roman"/>
          <w:i/>
          <w:iCs/>
        </w:rPr>
        <w:t xml:space="preserve">w</w:t>
      </w:r>
      <w:r>
        <w:rPr>
          <w:rFonts w:ascii="Times New Roman" w:cs="Times New Roman" w:eastAsia="Times New Roman" w:hAnsi="Times New Roman"/>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P</w:t>
      </w:r>
      <w:r>
        <w:rPr>
          <w:rFonts w:ascii="Times New Roman" w:cs="Times New Roman" w:eastAsia="Times New Roman" w:hAnsi="Times New Roman"/>
        </w:rPr>
        <w:t xml:space="preserve">(</w:t>
      </w:r>
      <w:r>
        <w:rPr>
          <w:rFonts w:ascii="Times New Roman" w:cs="Times New Roman" w:eastAsia="Times New Roman" w:hAnsi="Times New Roman"/>
          <w:i/>
          <w:iCs/>
        </w:rPr>
        <w:t xml:space="preserve">y</w:t>
      </w:r>
      <w:r>
        <w:rPr>
          <w:rFonts w:ascii="Times New Roman" w:cs="Times New Roman" w:eastAsia="Times New Roman" w:hAnsi="Times New Roman"/>
        </w:rPr>
        <w:t xml:space="preserve">|</w:t>
      </w:r>
      <w:r>
        <w:rPr>
          <w:rFonts w:ascii="Times New Roman" w:cs="Times New Roman" w:eastAsia="Times New Roman" w:hAnsi="Times New Roman"/>
          <w:i/>
          <w:iCs/>
        </w:rPr>
        <w:t xml:space="preserve">U</w:t>
      </w:r>
      <w:r>
        <w:rPr>
          <w:rFonts w:ascii="Times New Roman" w:cs="Times New Roman" w:eastAsia="Times New Roman" w:hAnsi="Times New Roman"/>
        </w:rPr>
        <w:t xml:space="preserve">) − </w:t>
      </w:r>
      <w:r>
        <w:rPr>
          <w:rFonts w:ascii="Times New Roman" w:cs="Times New Roman" w:eastAsia="Times New Roman" w:hAnsi="Times New Roman"/>
          <w:i/>
          <w:iCs/>
        </w:rPr>
        <w:t xml:space="preserve">P</w:t>
      </w:r>
      <w:r>
        <w:rPr>
          <w:rFonts w:ascii="Times New Roman" w:cs="Times New Roman" w:eastAsia="Times New Roman" w:hAnsi="Times New Roman"/>
        </w:rPr>
        <w:t xml:space="preserve">(</w:t>
      </w:r>
      <w:r>
        <w:rPr>
          <w:rFonts w:ascii="Times New Roman" w:cs="Times New Roman" w:eastAsia="Times New Roman" w:hAnsi="Times New Roman"/>
          <w:i/>
          <w:iCs/>
        </w:rPr>
        <w:t xml:space="preserve">y</w:t>
      </w:r>
      <w:r>
        <w:rPr>
          <w:rFonts w:ascii="Times New Roman" w:cs="Times New Roman" w:eastAsia="Times New Roman" w:hAnsi="Times New Roman"/>
        </w:rPr>
        <w:t xml:space="preserve">|</w:t>
      </w:r>
      <w:r>
        <w:rPr>
          <w:rFonts w:ascii="Times New Roman" w:cs="Times New Roman" w:eastAsia="Times New Roman" w:hAnsi="Times New Roman"/>
          <w:i/>
          <w:iCs/>
        </w:rPr>
        <w:t xml:space="preserve">U</w:t>
      </w:r>
      <w:r>
        <w:rPr>
          <w:rFonts w:ascii="Times New Roman" w:cs="Times New Roman" w:eastAsia="Times New Roman" w:hAnsi="Times New Roman"/>
        </w:rPr>
        <w:t xml:space="preserve"> \ {</w:t>
      </w:r>
      <w:r>
        <w:rPr>
          <w:rFonts w:ascii="Times New Roman" w:cs="Times New Roman" w:eastAsia="Times New Roman" w:hAnsi="Times New Roman"/>
          <w:i/>
          <w:iCs/>
        </w:rPr>
        <w:t xml:space="preserve">u</w:t>
      </w:r>
      <w:r>
        <w:rPr>
          <w:rFonts w:ascii="Times New Roman" w:cs="Times New Roman" w:eastAsia="Times New Roman" w:hAnsi="Times New Roman"/>
          <w:vertAlign w:val="subscript"/>
        </w:rPr>
        <w:t xml:space="preserve">i</w:t>
      </w:r>
      <w:r>
        <w:rPr>
          <w:rFonts w:ascii="Times New Roman" w:cs="Times New Roman" w:eastAsia="Times New Roman" w:hAnsi="Times New Roman"/>
        </w:rPr>
        <w:t xml:space="preserve">}), in the spirit of ContextCite [11]. E2: the weights are projected on the timeline, giving the top-1 timestamped unit for a temporal pointing game. E3: claim coverage via NLI entailment (DeBERTa-v3-small,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0.5) of each explanation sentence against its cited units, plus token coverage. E4: counterfactual removal of the top-</w:t>
      </w:r>
      <w:r>
        <w:rPr>
          <w:rFonts w:ascii="Times New Roman" w:cs="Times New Roman" w:eastAsia="Times New Roman" w:hAnsi="Times New Roman"/>
          <w:i/>
          <w:iCs/>
        </w:rPr>
        <w:t xml:space="preserve">k</w:t>
      </w:r>
      <w:r>
        <w:rPr>
          <w:rFonts w:ascii="Times New Roman" w:cs="Times New Roman" w:eastAsia="Times New Roman" w:hAnsi="Times New Roman"/>
        </w:rPr>
        <w:t xml:space="preserve"> versus random-</w:t>
      </w:r>
      <w:r>
        <w:rPr>
          <w:rFonts w:ascii="Times New Roman" w:cs="Times New Roman" w:eastAsia="Times New Roman" w:hAnsi="Times New Roman"/>
          <w:i/>
          <w:iCs/>
        </w:rPr>
        <w:t xml:space="preserve">k</w:t>
      </w:r>
      <w:r>
        <w:rPr>
          <w:rFonts w:ascii="Times New Roman" w:cs="Times New Roman" w:eastAsia="Times New Roman" w:hAnsi="Times New Roman"/>
        </w:rPr>
        <w:t xml:space="preserve"> units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{1, 2, 3}, 5 seeds), reporting Δconfidence, flip rate and the faithfulness gap Δconf</w:t>
      </w:r>
      <w:r>
        <w:rPr>
          <w:rFonts w:ascii="Times New Roman" w:cs="Times New Roman" w:eastAsia="Times New Roman" w:hAnsi="Times New Roman"/>
          <w:vertAlign w:val="subscript"/>
        </w:rPr>
        <w:t xml:space="preserve">top</w:t>
      </w:r>
      <w:r>
        <w:rPr>
          <w:rFonts w:ascii="Times New Roman" w:cs="Times New Roman" w:eastAsia="Times New Roman" w:hAnsi="Times New Roman"/>
        </w:rPr>
        <w:t xml:space="preserve"> − Δconf</w:t>
      </w:r>
      <w:r>
        <w:rPr>
          <w:rFonts w:ascii="Times New Roman" w:cs="Times New Roman" w:eastAsia="Times New Roman" w:hAnsi="Times New Roman"/>
          <w:vertAlign w:val="subscript"/>
        </w:rPr>
        <w:t xml:space="preserve">rand</w:t>
      </w:r>
      <w:r>
        <w:rPr>
          <w:rFonts w:ascii="Times New Roman" w:cs="Times New Roman" w:eastAsia="Times New Roman" w:hAnsi="Times New Roman"/>
        </w:rPr>
        <w:t xml:space="preserve">. E5: KG triple, entity and relation removal. E6: an embedding-drift monitor over window centroids.</w:t>
      </w:r>
    </w:p>
    <w:p>
      <w:pPr>
        <w:pStyle w:val="Heading1"/>
      </w:pPr>
      <w:r>
        <w:rPr>
          <w:rFonts w:ascii="Times New Roman" w:cs="Times New Roman" w:eastAsia="Times New Roman" w:hAnsi="Times New Roman"/>
        </w:rPr>
        <w:t xml:space="preserve">V. Implementation</w:t>
      </w:r>
    </w:p>
    <w:p>
      <w:pPr>
        <w:ind w:firstLine="202"/>
        <w:jc w:val="both"/>
      </w:pPr>
      <w:r>
        <w:rPr>
          <w:rFonts w:ascii="Times New Roman" w:cs="Times New Roman" w:eastAsia="Times New Roman" w:hAnsi="Times New Roman"/>
          <w:b/>
          <w:bCs/>
        </w:rPr>
        <w:t xml:space="preserve">Stream and data.</w:t>
      </w:r>
      <w:r>
        <w:rPr>
          <w:rFonts w:ascii="Times New Roman" w:cs="Times New Roman" w:eastAsia="Times New Roman" w:hAnsi="Times New Roman"/>
        </w:rPr>
        <w:t xml:space="preserve"> The public UCF-Crime test videos [12], our proposal's main test set, could not be downloaded on the development laptop. We therefore replay 14 traffic clips: 12 accident clips (2 fixed CCTV, 9 dashcam, 1 news fire) and 2 normal clips, from public GitHub repositories and Intel's CC-BY sample videos. They total 197.5 s of video, or 5,396 frames, published to Kafka at native FPS. Two further normal clips (50 s and 54 s) were dropped to meet the deadline. Labels are per video. The case library (TD-RAG's historical windows) has 84 four-second windows and 309 keyframes from the same 16 clips, each with its video label; at query time, retrieval excludes the query's own video (leave-one-video-out).</w:t>
      </w:r>
    </w:p>
    <w:p>
      <w:pPr>
        <w:ind w:firstLine="202"/>
        <w:jc w:val="both"/>
      </w:pPr>
      <w:r>
        <w:rPr>
          <w:rFonts w:ascii="Times New Roman" w:cs="Times New Roman" w:eastAsia="Times New Roman" w:hAnsi="Times New Roman"/>
          <w:b/>
          <w:bCs/>
        </w:rPr>
        <w:t xml:space="preserve">Configurations.</w:t>
      </w:r>
      <w:r>
        <w:rPr>
          <w:rFonts w:ascii="Times New Roman" w:cs="Times New Roman" w:eastAsia="Times New Roman" w:hAnsi="Times New Roman"/>
        </w:rPr>
        <w:t xml:space="preserve"> Table II lists what differs between the two systems. Both use the same VLM, LLM, prompt, knowledge base and event logic. Experiments run in fast-replay mode (timestamps preserved), and LLM feedback to the windowing state machine is disabled for determinism. The explain stage runs after detection because the 16 GB laptop cannot hold two copies of the LLM.</w:t>
      </w:r>
    </w:p>
    <w:p>
      <w:pPr>
        <w:keepNext/>
        <w:spacing w:before="16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Configurations compared</w:t>
      </w:r>
    </w:p>
    <w:tbl>
      <w:tblPr>
        <w:tblW w:type="dxa" w:w="50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700"/>
        <w:gridCol w:w="1850"/>
      </w:tblGrid>
      <w:tr>
        <w:trPr>
          <w:tblHeader/>
        </w:trPr>
        <w:tc>
          <w:tcPr>
            <w:tcW w:type="dxa" w:w="150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Setting</w:t>
            </w:r>
          </w:p>
        </w:tc>
        <w:tc>
          <w:tcPr>
            <w:tcW w:type="dxa" w:w="170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B1 StreamingRAG</w:t>
            </w:r>
          </w:p>
        </w:tc>
        <w:tc>
          <w:tcPr>
            <w:tcW w:type="dxa" w:w="185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B3 X-StreamRAG</w:t>
            </w:r>
          </w:p>
        </w:tc>
      </w:tr>
      <w:t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Keyframes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fixed 2 fps</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adaptive 0.5/2/4 per s</w:t>
            </w:r>
          </w:p>
        </w:tc>
      </w:tr>
      <w:t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Decision unit</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one keyframe (0.5 s)</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adaptive window (≤ 16 s)</w:t>
            </w:r>
          </w:p>
        </w:tc>
      </w:tr>
      <w:t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Retrieval</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frame-level kNN</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window-level dense + BM25 + KG, rerank</w:t>
            </w:r>
          </w:p>
        </w:tc>
      </w:tr>
      <w:t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Sequence context</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none</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current + previous 2</w:t>
            </w:r>
          </w:p>
        </w:tc>
      </w:tr>
      <w:t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Back-fill</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 s ring buffer</w:t>
            </w:r>
          </w:p>
        </w:tc>
      </w:tr>
      <w:tr>
        <w:tc>
          <w:tcPr>
            <w:tcW w:type="dxa" w:w="15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Explainability</w:t>
            </w:r>
          </w:p>
        </w:tc>
        <w:tc>
          <w:tcPr>
            <w:tcW w:type="dxa" w:w="17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85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E1–E5</w:t>
            </w:r>
          </w:p>
        </w:tc>
      </w:tr>
    </w:tbl>
    <w:p>
      <w:pPr>
        <w:spacing w:after="120"/>
      </w:pPr>
    </w:p>
    <w:p>
      <w:pPr>
        <w:ind w:firstLine="202"/>
        <w:jc w:val="both"/>
      </w:pPr>
      <w:r>
        <w:rPr>
          <w:rFonts w:ascii="Times New Roman" w:cs="Times New Roman" w:eastAsia="Times New Roman" w:hAnsi="Times New Roman"/>
          <w:b/>
          <w:bCs/>
        </w:rPr>
        <w:t xml:space="preserve">Tools and versions.</w:t>
      </w:r>
      <w:r>
        <w:rPr>
          <w:rFonts w:ascii="Times New Roman" w:cs="Times New Roman" w:eastAsia="Times New Roman" w:hAnsi="Times New Roman"/>
        </w:rPr>
        <w:t xml:space="preserve"> Table III lists every tool in the pipeline. Hardware: Intel i5-1340P, 16 GB RAM, no GPU. Seeds are fixed, and the configuration, git commit and library versions are saved with every run.</w:t>
      </w:r>
    </w:p>
    <w:p>
      <w:pPr>
        <w:keepNext/>
        <w:spacing w:before="16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Tools, versions and roles</w:t>
      </w:r>
    </w:p>
    <w:tbl>
      <w:tblPr>
        <w:tblW w:type="dxa" w:w="50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50"/>
        <w:gridCol w:w="2200"/>
      </w:tblGrid>
      <w:tr>
        <w:trPr>
          <w:tblHeader/>
        </w:trPr>
        <w:tc>
          <w:tcPr>
            <w:tcW w:type="dxa" w:w="190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Tool</w:t>
            </w:r>
          </w:p>
        </w:tc>
        <w:tc>
          <w:tcPr>
            <w:tcW w:type="dxa" w:w="95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Version</w:t>
            </w:r>
          </w:p>
        </w:tc>
        <w:tc>
          <w:tcPr>
            <w:tcW w:type="dxa" w:w="220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Role</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Apache Kafka (KRaft)</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3.9.1</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stream backbone (WSL2)</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confluent-kafka</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2.11.1</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Kafka client</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River</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0.22.0</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ADWIN change detection</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OpenCV</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4.11.0</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ingest, JPEG, frame diff</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PyTorch (CPU)</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2.8.0</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model runtime</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transformers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4.56.2</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SmolVLM, CLIP, Qwen2.5-1.5B</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sentence-transformers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5.1.1</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bge-small, reranker, NLI</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FAISS (cpu)</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1.12.0</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HNSW case library</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rank-bm25</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0.2.2</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BM25</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NetworkX</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3.6.1</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temporal KG</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LangChain core</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0.3.76</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retriever, prompt chain</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Streamlit</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1.50.0</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dashboard</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Prometheus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2.54.1</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metrics (1 s scrape)</w:t>
            </w:r>
          </w:p>
        </w:tc>
      </w:tr>
      <w:t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OpenTelemetry SDK</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1.37.0</w:t>
            </w:r>
          </w:p>
        </w:tc>
        <w:tc>
          <w:tcPr>
            <w:tcW w:type="dxa" w:w="22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per-window spans</w:t>
            </w:r>
          </w:p>
        </w:tc>
      </w:tr>
      <w:tr>
        <w:tc>
          <w:tcPr>
            <w:tcW w:type="dxa" w:w="19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Python</w:t>
            </w:r>
          </w:p>
        </w:tc>
        <w:tc>
          <w:tcPr>
            <w:tcW w:type="dxa" w:w="95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3.13.5</w:t>
            </w:r>
          </w:p>
        </w:tc>
        <w:tc>
          <w:tcPr>
            <w:tcW w:type="dxa" w:w="22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all services</w:t>
            </w:r>
          </w:p>
        </w:tc>
      </w:tr>
    </w:tbl>
    <w:p>
      <w:pPr>
        <w:spacing w:after="120"/>
      </w:pPr>
    </w:p>
    <w:p>
      <w:pPr>
        <w:ind w:firstLine="202"/>
        <w:jc w:val="both"/>
      </w:pPr>
      <w:r>
        <w:rPr>
          <w:rFonts w:ascii="Times New Roman" w:cs="Times New Roman" w:eastAsia="Times New Roman" w:hAnsi="Times New Roman"/>
          <w:b/>
          <w:bCs/>
        </w:rPr>
        <w:t xml:space="preserve">Design choice.</w:t>
      </w:r>
      <w:r>
        <w:rPr>
          <w:rFonts w:ascii="Times New Roman" w:cs="Times New Roman" w:eastAsia="Times New Roman" w:hAnsi="Times New Roman"/>
        </w:rPr>
        <w:t xml:space="preserve"> Qwen2.5-0.5B was tried first and rejected because it assigned </w:t>
      </w:r>
      <w:r>
        <w:rPr>
          <w:rFonts w:ascii="Times New Roman" w:cs="Times New Roman" w:eastAsia="Times New Roman" w:hAnsi="Times New Roman"/>
          <w:i/>
          <w:iCs/>
        </w:rPr>
        <w:t xml:space="preserve">P</w:t>
      </w:r>
      <w:r>
        <w:rPr>
          <w:rFonts w:ascii="Times New Roman" w:cs="Times New Roman" w:eastAsia="Times New Roman" w:hAnsi="Times New Roman"/>
        </w:rPr>
        <w:t xml:space="preserve">(collision) &gt; 0.99 to a calm highway window. With an explicit “default to none” instruction, Qwen2.5-1.5B gives </w:t>
      </w:r>
      <w:r>
        <w:rPr>
          <w:rFonts w:ascii="Times New Roman" w:cs="Times New Roman" w:eastAsia="Times New Roman" w:hAnsi="Times New Roman"/>
          <w:i/>
          <w:iCs/>
        </w:rPr>
        <w:t xml:space="preserve">P</w:t>
      </w:r>
      <w:r>
        <w:rPr>
          <w:rFonts w:ascii="Times New Roman" w:cs="Times New Roman" w:eastAsia="Times New Roman" w:hAnsi="Times New Roman"/>
        </w:rPr>
        <w:t xml:space="preserve">(none) = 0.96 for that window and </w:t>
      </w:r>
      <w:r>
        <w:rPr>
          <w:rFonts w:ascii="Times New Roman" w:cs="Times New Roman" w:eastAsia="Times New Roman" w:hAnsi="Times New Roman"/>
          <w:i/>
          <w:iCs/>
        </w:rPr>
        <w:t xml:space="preserve">P</w:t>
      </w:r>
      <w:r>
        <w:rPr>
          <w:rFonts w:ascii="Times New Roman" w:cs="Times New Roman" w:eastAsia="Times New Roman" w:hAnsi="Times New Roman"/>
        </w:rPr>
        <w:t xml:space="preserve">(collision) ≈ 0.99 for a crash window.</w:t>
      </w:r>
    </w:p>
    <w:p>
      <w:pPr>
        <w:ind w:firstLine="202"/>
        <w:jc w:val="left"/>
      </w:pPr>
      <w:r>
        <w:rPr>
          <w:rFonts w:ascii="Times New Roman" w:cs="Times New Roman" w:eastAsia="Times New Roman" w:hAnsi="Times New Roman"/>
          <w:b/>
          <w:bCs/>
        </w:rPr>
        <w:t xml:space="preserve">Reproducibility.</w:t>
      </w:r>
      <w:r>
        <w:rPr>
          <w:rFonts w:ascii="Times New Roman" w:cs="Times New Roman" w:eastAsia="Times New Roman" w:hAnsi="Times New Roman"/>
        </w:rPr>
        <w:t xml:space="preserve"> The code, configurations and README are at github.com/Rupsika/streaming_rag. After the setup in the README, </w:t>
      </w:r>
      <w:r>
        <w:rPr>
          <w:rFonts w:ascii="Courier New" w:cs="Courier New" w:eastAsia="Courier New" w:hAnsi="Courier New"/>
          <w:sz w:val="18"/>
          <w:szCs w:val="18"/>
        </w:rPr>
        <w:t xml:space="preserve">scripts/run_experiment.py --config configs/baselines/b3.yaml</w:t>
      </w:r>
      <w:r>
        <w:rPr>
          <w:rFonts w:ascii="Times New Roman" w:cs="Times New Roman" w:eastAsia="Times New Roman" w:hAnsi="Times New Roman"/>
        </w:rPr>
        <w:t xml:space="preserve"> replays the clips through Kafka and writes </w:t>
      </w:r>
      <w:r>
        <w:rPr>
          <w:rFonts w:ascii="Courier New" w:cs="Courier New" w:eastAsia="Courier New" w:hAnsi="Courier New"/>
          <w:sz w:val="18"/>
          <w:szCs w:val="18"/>
        </w:rPr>
        <w:t xml:space="preserve">results/&lt;run_id&gt;/metrics.json</w:t>
      </w:r>
      <w:r>
        <w:rPr>
          <w:rFonts w:ascii="Times New Roman" w:cs="Times New Roman" w:eastAsia="Times New Roman" w:hAnsi="Times New Roman"/>
        </w:rPr>
        <w:t xml:space="preserve">; </w:t>
      </w:r>
      <w:r>
        <w:rPr>
          <w:rFonts w:ascii="Courier New" w:cs="Courier New" w:eastAsia="Courier New" w:hAnsi="Courier New"/>
          <w:sz w:val="18"/>
          <w:szCs w:val="18"/>
        </w:rPr>
        <w:t xml:space="preserve">scripts/run_main.sh</w:t>
      </w:r>
      <w:r>
        <w:rPr>
          <w:rFonts w:ascii="Times New Roman" w:cs="Times New Roman" w:eastAsia="Times New Roman" w:hAnsi="Times New Roman"/>
        </w:rPr>
        <w:t xml:space="preserve"> runs both systems, the McNemar test and the figures; </w:t>
      </w:r>
      <w:r>
        <w:rPr>
          <w:rFonts w:ascii="Courier New" w:cs="Courier New" w:eastAsia="Courier New" w:hAnsi="Courier New"/>
          <w:sz w:val="18"/>
          <w:szCs w:val="18"/>
        </w:rPr>
        <w:t xml:space="preserve">scripts/run_all.sh configs/demo.yaml</w:t>
      </w:r>
      <w:r>
        <w:rPr>
          <w:rFonts w:ascii="Times New Roman" w:cs="Times New Roman" w:eastAsia="Times New Roman" w:hAnsi="Times New Roman"/>
        </w:rPr>
        <w:t xml:space="preserve"> with </w:t>
      </w:r>
      <w:r>
        <w:rPr>
          <w:rFonts w:ascii="Courier New" w:cs="Courier New" w:eastAsia="Courier New" w:hAnsi="Courier New"/>
          <w:sz w:val="18"/>
          <w:szCs w:val="18"/>
        </w:rPr>
        <w:t xml:space="preserve">streamlit run dashboard/app.py</w:t>
      </w:r>
      <w:r>
        <w:rPr>
          <w:rFonts w:ascii="Times New Roman" w:cs="Times New Roman" w:eastAsia="Times New Roman" w:hAnsi="Times New Roman"/>
        </w:rPr>
        <w:t xml:space="preserve"> starts the live demo.</w:t>
      </w:r>
    </w:p>
    <w:p>
      <w:pPr>
        <w:pStyle w:val="Heading1"/>
      </w:pPr>
      <w:r>
        <w:rPr>
          <w:rFonts w:ascii="Times New Roman" w:cs="Times New Roman" w:eastAsia="Times New Roman" w:hAnsi="Times New Roman"/>
        </w:rPr>
        <w:t xml:space="preserve">VI. Experimental Setup and Results</w:t>
      </w:r>
    </w:p>
    <w:p>
      <w:pPr>
        <w:ind w:firstLine="202"/>
        <w:jc w:val="both"/>
      </w:pPr>
      <w:r>
        <w:rPr>
          <w:rFonts w:ascii="Times New Roman" w:cs="Times New Roman" w:eastAsia="Times New Roman" w:hAnsi="Times New Roman"/>
          <w:b/>
          <w:bCs/>
        </w:rPr>
        <w:t xml:space="preserve">Metrics.</w:t>
      </w:r>
      <w:r>
        <w:rPr>
          <w:rFonts w:ascii="Times New Roman" w:cs="Times New Roman" w:eastAsia="Times New Roman" w:hAnsi="Times New Roman"/>
        </w:rPr>
        <w:t xml:space="preserve"> Video-level accuracy, precision, recall and F1 (a video is positive if any event is raised), with 95% bootstrap confidence intervals over videos (1,000 resamples) and an exact McNemar test between B1 and B3. We also report the frame-processing ratio, VLM keyframes per minute, window-close-to-verdict latency, throughput, retrieval P@5, and the E1–E5 explainability metrics. Event-level metrics (tIoU ≥ 0.1 or a start within ±2 s of the ground-truth segment, short-event recall, detection delay, pointing game) need annotated event times, which are not yet available for these clips, so they are omitted.</w:t>
      </w:r>
    </w:p>
    <w:p>
      <w:pPr>
        <w:keepNext/>
        <w:spacing w:before="16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Main comparison on 14 clips (12 accident, 2 normal)</w:t>
      </w:r>
    </w:p>
    <w:tbl>
      <w:tblPr>
        <w:tblW w:type="dxa" w:w="50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50"/>
        <w:gridCol w:w="1450"/>
        <w:gridCol w:w="1450"/>
      </w:tblGrid>
      <w:tr>
        <w:trPr>
          <w:tblHeader/>
        </w:trPr>
        <w:tc>
          <w:tcPr>
            <w:tcW w:type="dxa" w:w="215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Metric</w:t>
            </w:r>
          </w:p>
        </w:tc>
        <w:tc>
          <w:tcPr>
            <w:tcW w:type="dxa" w:w="145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B1</w:t>
            </w:r>
          </w:p>
        </w:tc>
        <w:tc>
          <w:tcPr>
            <w:tcW w:type="dxa" w:w="145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B3</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Video accuracy</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0.857</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0.571</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Precision / recall</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0.857 / 1.000</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0.875 / 0.583</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F1 [95% CI]</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0.923 [0.78, 1.00]</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0.700 [0.44, 0.88]</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False alarms (normal clips)</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 / 2</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 / 2</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Windows (LLM calls)</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402</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50</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VLM keyframes / min</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122.1</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83.2</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Frame-processing ratio</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0.074</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0.051</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LLM s / window (P50)</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12.7</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98.5</w:t>
            </w:r>
          </w:p>
        </w:tc>
      </w:tr>
      <w:tr>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Window latency P50 / P95 (s)</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2476 / 4904</w:t>
            </w:r>
          </w:p>
        </w:tc>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1377 / 3851</w:t>
            </w:r>
          </w:p>
        </w:tc>
      </w:tr>
      <w:tr>
        <w:tc>
          <w:tcPr>
            <w:tcW w:type="dxa" w:w="215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Retrieval P@5</w:t>
            </w:r>
          </w:p>
        </w:tc>
        <w:tc>
          <w:tcPr>
            <w:tcW w:type="dxa" w:w="145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0.581</w:t>
            </w:r>
          </w:p>
        </w:tc>
        <w:tc>
          <w:tcPr>
            <w:tcW w:type="dxa" w:w="145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0.888</w:t>
            </w:r>
          </w:p>
        </w:tc>
      </w:tr>
    </w:tbl>
    <w:p>
      <w:pPr>
        <w:spacing w:after="120"/>
      </w:pPr>
    </w:p>
    <w:p>
      <w:pPr>
        <w:ind w:firstLine="202"/>
        <w:jc w:val="both"/>
      </w:pPr>
      <w:r>
        <w:rPr>
          <w:rFonts w:ascii="Times New Roman" w:cs="Times New Roman" w:eastAsia="Times New Roman" w:hAnsi="Times New Roman"/>
          <w:b/>
          <w:bCs/>
        </w:rPr>
        <w:t xml:space="preserve">Detection.</w:t>
      </w:r>
      <w:r>
        <w:rPr>
          <w:rFonts w:ascii="Times New Roman" w:cs="Times New Roman" w:eastAsia="Times New Roman" w:hAnsi="Times New Roman"/>
        </w:rPr>
        <w:t xml:space="preserve"> Table IV and Fig. 3 show that the frame-level baseline detects more accident clips. B1 raised an event on all 12 accident clips (recall 1.00) but also on both normal clips, so its precision is 0.857. B3 raised events on 7 of 12 accident clips (recall 0.583) and on one normal clip (precision 0.875). Per video (Table V), B1 was right on 5 clips where B3 was wrong and B3 on 1 clip where B1 was wrong; the exact McNemar test gives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0.22, so with 14 clips neither system is significantly better. Event types were correct on every detected clip for both systems.</w:t>
      </w:r>
    </w:p>
    <w:p>
      <w:pPr>
        <w:keepNext/>
        <w:spacing w:before="120"/>
        <w:jc w:val="center"/>
      </w:pPr>
      <w:r>
        <w:drawing>
          <wp:inline distT="0" distB="0" distL="0" distR="0">
            <wp:extent cx="32004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1276350"/>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B1 vs. B3: video F1 with 95% bootstrap CI and retrieval P@5. Event-level metrics are n/a until event times are annotated.</w:t>
      </w:r>
    </w:p>
    <w:p>
      <w:pPr>
        <w:keepNext/>
        <w:spacing w:before="16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Per-clip windows and decisions (pos/neg = event raised or not; ✓ correct, ✗ wrong)</w:t>
      </w:r>
    </w:p>
    <w:tbl>
      <w:tblPr>
        <w:tblW w:type="dxa" w:w="46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760"/>
        <w:gridCol w:w="460"/>
        <w:gridCol w:w="440"/>
        <w:gridCol w:w="580"/>
        <w:gridCol w:w="440"/>
        <w:gridCol w:w="580"/>
      </w:tblGrid>
      <w:tr>
        <w:trPr>
          <w:tblHeader/>
        </w:trPr>
        <w:tc>
          <w:tcPr>
            <w:tcW w:type="dxa" w:w="140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Clip</w:t>
            </w:r>
          </w:p>
        </w:tc>
        <w:tc>
          <w:tcPr>
            <w:tcW w:type="dxa" w:w="76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GT</w:t>
            </w:r>
          </w:p>
        </w:tc>
        <w:tc>
          <w:tcPr>
            <w:tcW w:type="dxa" w:w="46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s</w:t>
            </w:r>
          </w:p>
        </w:tc>
        <w:tc>
          <w:tcPr>
            <w:tcW w:type="dxa" w:w="44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B1 win.</w:t>
            </w:r>
          </w:p>
        </w:tc>
        <w:tc>
          <w:tcPr>
            <w:tcW w:type="dxa" w:w="58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B1</w:t>
            </w:r>
          </w:p>
        </w:tc>
        <w:tc>
          <w:tcPr>
            <w:tcW w:type="dxa" w:w="44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B3 win.</w:t>
            </w:r>
          </w:p>
        </w:tc>
        <w:tc>
          <w:tcPr>
            <w:tcW w:type="dxa" w:w="58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B3</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cctv_compilation</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76.6</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154</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18</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cctv_intersection</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13.2</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27</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4</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motorcycle_1</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5.7</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12</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faizy_traffic</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11.9</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24</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faizy_traffic_2</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17.3</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35</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head_on_10</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5.2</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neg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head_on_109</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3.0</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6</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neg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head_on_114</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coll.</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6.2</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13</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neg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rollover_1</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rollover</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5.7</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12</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neg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rollover_106</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rollover</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4.4</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9</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neg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rollover_121</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rollover</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5.1</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news_fire_20</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fire</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5.7</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12</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2</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negative_10</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none</w:t>
            </w:r>
          </w:p>
        </w:tc>
        <w:tc>
          <w:tcPr>
            <w:tcW w:type="dxa" w:w="4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7.5</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15</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neg ✓</w:t>
            </w:r>
          </w:p>
        </w:tc>
      </w:tr>
      <w:tr>
        <w:tc>
          <w:tcPr>
            <w:tcW w:type="dxa" w:w="14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intel_car</w:t>
            </w:r>
          </w:p>
        </w:tc>
        <w:tc>
          <w:tcPr>
            <w:tcW w:type="dxa" w:w="76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none</w:t>
            </w:r>
          </w:p>
        </w:tc>
        <w:tc>
          <w:tcPr>
            <w:tcW w:type="dxa" w:w="46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30.2</w:t>
            </w:r>
          </w:p>
        </w:tc>
        <w:tc>
          <w:tcPr>
            <w:tcW w:type="dxa" w:w="44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61</w:t>
            </w:r>
          </w:p>
        </w:tc>
        <w:tc>
          <w:tcPr>
            <w:tcW w:type="dxa" w:w="58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c>
          <w:tcPr>
            <w:tcW w:type="dxa" w:w="44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8</w:t>
            </w:r>
          </w:p>
        </w:tc>
        <w:tc>
          <w:tcPr>
            <w:tcW w:type="dxa" w:w="58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pos ✗</w:t>
            </w:r>
          </w:p>
        </w:tc>
      </w:tr>
    </w:tbl>
    <w:p>
      <w:pPr>
        <w:spacing w:after="120"/>
      </w:pPr>
    </w:p>
    <w:p>
      <w:pPr>
        <w:ind w:firstLine="202"/>
        <w:jc w:val="both"/>
      </w:pPr>
      <w:r>
        <w:rPr>
          <w:rFonts w:ascii="Times New Roman" w:cs="Times New Roman" w:eastAsia="Times New Roman" w:hAnsi="Times New Roman"/>
          <w:b/>
          <w:bCs/>
        </w:rPr>
        <w:t xml:space="preserve">Compute and latency.</w:t>
      </w:r>
      <w:r>
        <w:rPr>
          <w:rFonts w:ascii="Times New Roman" w:cs="Times New Roman" w:eastAsia="Times New Roman" w:hAnsi="Times New Roman"/>
        </w:rPr>
        <w:t xml:space="preserve"> B3 groups the same 197.5 s of video into 50 windows instead of 402, i.e. 8× fewer LLM calls, and processes 5.1% of frames with the VLM against 7.4% (83 vs. 122 keyframes/min). Its window latency is lower (P50 1377 s vs. 2476 s, Fig. 4) because far fewer windows queue for the LLM, even though each B3 call is longer (P50 98 s vs. 13 s) since the window prompt carries sequence context and eight reranked evidence units. Both latencies are dominated by queueing in fast-replay mode on a CPU and are not real-time. Window-level hybrid retrieval returns more relevant cases: P@5 rises from 0.58 to 0.89.</w:t>
      </w:r>
    </w:p>
    <w:p>
      <w:pPr>
        <w:keepNext/>
        <w:spacing w:before="120"/>
        <w:jc w:val="center"/>
      </w:pPr>
      <w:r>
        <w:drawing>
          <wp:inline distT="0" distB="0" distL="0" distR="0">
            <wp:extent cx="32004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2133600"/>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CDF of window-close-to-verdict latency, including queueing, in fast-replay mode (log scale).</w:t>
      </w:r>
    </w:p>
    <w:p>
      <w:pPr>
        <w:keepNext/>
        <w:spacing w:before="16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Explainability of B3 events (E1–E5, n = 8)</w:t>
      </w:r>
    </w:p>
    <w:tbl>
      <w:tblPr>
        <w:tblW w:type="dxa" w:w="50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50"/>
        <w:gridCol w:w="1070"/>
        <w:gridCol w:w="1070"/>
        <w:gridCol w:w="1070"/>
      </w:tblGrid>
      <w:tr>
        <w:trPr>
          <w:tblHeader/>
        </w:trPr>
        <w:tc>
          <w:tcPr>
            <w:tcW w:type="dxa" w:w="185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left"/>
            </w:pPr>
          </w:p>
        </w:tc>
        <w:tc>
          <w:tcPr>
            <w:tcW w:type="dxa" w:w="107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k = 1</w:t>
            </w:r>
          </w:p>
        </w:tc>
        <w:tc>
          <w:tcPr>
            <w:tcW w:type="dxa" w:w="107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k = 2</w:t>
            </w:r>
          </w:p>
        </w:tc>
        <w:tc>
          <w:tcPr>
            <w:tcW w:type="dxa" w:w="107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k = 3</w:t>
            </w:r>
          </w:p>
        </w:tc>
      </w:tr>
      <w:tr>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Δconf, top-k removed</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0.081</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0.106</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0.114</w:t>
            </w:r>
          </w:p>
        </w:tc>
      </w:tr>
      <w:tr>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Δconf, random-k removed</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0.020</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0.040</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0.091</w:t>
            </w:r>
          </w:p>
        </w:tc>
      </w:tr>
      <w:tr>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Faithfulness gap</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0.061</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0.066</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0.023</w:t>
            </w:r>
          </w:p>
        </w:tc>
      </w:tr>
      <w:tr>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Flip rate top / random</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0.25 / 0.23</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0.25 / 0.20</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0.25 / 0.23</w:t>
            </w:r>
          </w:p>
        </w:tc>
      </w:tr>
      <w:tr>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Claim / token coverage</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0.00 / 0.00</w:t>
            </w: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p>
        </w:tc>
        <w:tc>
          <w:tcPr>
            <w:tcW w:type="dxa" w:w="10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jc w:val="center"/>
            </w:pPr>
          </w:p>
        </w:tc>
      </w:tr>
      <w:tr>
        <w:tc>
          <w:tcPr>
            <w:tcW w:type="dxa" w:w="185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left"/>
            </w:pPr>
            <w:r>
              <w:rPr>
                <w:rFonts w:ascii="Times New Roman" w:cs="Times New Roman" w:eastAsia="Times New Roman" w:hAnsi="Times New Roman"/>
                <w:b w:val="false"/>
                <w:bCs w:val="false"/>
                <w:sz w:val="16"/>
                <w:szCs w:val="16"/>
              </w:rPr>
              <w:t xml:space="preserve">Unsupported claims</w:t>
            </w:r>
          </w:p>
        </w:tc>
        <w:tc>
          <w:tcPr>
            <w:tcW w:type="dxa" w:w="107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r>
              <w:rPr>
                <w:rFonts w:ascii="Times New Roman" w:cs="Times New Roman" w:eastAsia="Times New Roman" w:hAnsi="Times New Roman"/>
                <w:b w:val="false"/>
                <w:bCs w:val="false"/>
                <w:sz w:val="16"/>
                <w:szCs w:val="16"/>
              </w:rPr>
              <w:t xml:space="preserve">1.00</w:t>
            </w:r>
          </w:p>
        </w:tc>
        <w:tc>
          <w:tcPr>
            <w:tcW w:type="dxa" w:w="107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p>
        </w:tc>
        <w:tc>
          <w:tcPr>
            <w:tcW w:type="dxa" w:w="107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jc w:val="center"/>
            </w:pPr>
          </w:p>
        </w:tc>
      </w:tr>
    </w:tbl>
    <w:p>
      <w:pPr>
        <w:spacing w:after="120"/>
      </w:pPr>
    </w:p>
    <w:p>
      <w:pPr>
        <w:ind w:firstLine="202"/>
        <w:jc w:val="both"/>
      </w:pPr>
      <w:r>
        <w:rPr>
          <w:rFonts w:ascii="Times New Roman" w:cs="Times New Roman" w:eastAsia="Times New Roman" w:hAnsi="Times New Roman"/>
          <w:b/>
          <w:bCs/>
        </w:rPr>
        <w:t xml:space="preserve">Explainability.</w:t>
      </w:r>
      <w:r>
        <w:rPr>
          <w:rFonts w:ascii="Times New Roman" w:cs="Times New Roman" w:eastAsia="Times New Roman" w:hAnsi="Times New Roman"/>
        </w:rPr>
        <w:t xml:space="preserve"> Table VI and Fig. 5 cover the 8 B3 events. Removing the top-1 attributed unit lowers confidence by 0.081, four times the drop from removing a random unit (0.020); at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2 the ratio is 2.7×. At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3 the gap shrinks to 0.023 because random removals start to hit important units too. Flip rates barely differ (0.25 top vs. 0.20–0.23 random), and the absolute drops are small because confidence is saturated (0.97–0.997 on every event). Claim coverage is 0: in all 8 events the LLM wrote a fluent explanation but cited no evidence IDs, so no claim could be checked against its sources.</w:t>
      </w:r>
    </w:p>
    <w:p>
      <w:pPr>
        <w:keepNext/>
        <w:spacing w:before="120"/>
        <w:jc w:val="center"/>
      </w:pPr>
      <w:r>
        <w:drawing>
          <wp:inline distT="0" distB="0" distL="0" distR="0">
            <wp:extent cx="32004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133600"/>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RQ4: confidence drop when the top-</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attributed vs. random-</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evidence units are removed.</w:t>
      </w:r>
    </w:p>
    <w:p>
      <w:pPr>
        <w:pStyle w:val="Heading1"/>
      </w:pPr>
      <w:r>
        <w:rPr>
          <w:rFonts w:ascii="Times New Roman" w:cs="Times New Roman" w:eastAsia="Times New Roman" w:hAnsi="Times New Roman"/>
        </w:rPr>
        <w:t xml:space="preserve">VII. Discussion and Inferences</w:t>
      </w:r>
    </w:p>
    <w:p>
      <w:pPr>
        <w:ind w:firstLine="202"/>
        <w:jc w:val="both"/>
      </w:pPr>
      <w:r>
        <w:rPr>
          <w:rFonts w:ascii="Times New Roman" w:cs="Times New Roman" w:eastAsia="Times New Roman" w:hAnsi="Times New Roman"/>
          <w:b/>
          <w:bCs/>
        </w:rPr>
        <w:t xml:space="preserve">Short clips.</w:t>
      </w:r>
      <w:r>
        <w:rPr>
          <w:rFonts w:ascii="Times New Roman" w:cs="Times New Roman" w:eastAsia="Times New Roman" w:hAnsi="Times New Roman"/>
        </w:rPr>
        <w:t xml:space="preserve"> All five accident clips that B3 missed (3.0–6.2 s long) produced exactly one window (Table V): the change detector stayed in CALM, whose windows may last up to 16 s, so the whole clip became a single window. The LLM scored each of these windows correctly (</w:t>
      </w:r>
      <w:r>
        <w:rPr>
          <w:rFonts w:ascii="Times New Roman" w:cs="Times New Roman" w:eastAsia="Times New Roman" w:hAnsi="Times New Roman"/>
          <w:i/>
          <w:iCs/>
        </w:rPr>
        <w:t xml:space="preserve">P</w:t>
      </w:r>
      <w:r>
        <w:rPr>
          <w:rFonts w:ascii="Times New Roman" w:cs="Times New Roman" w:eastAsia="Times New Roman" w:hAnsi="Times New Roman"/>
        </w:rPr>
        <w:t xml:space="preserve">(event) = 0.90–0.92, type vehicle collision), but the 2-of-3 debounce needs two positive windows, so no event opened. Every B3 clip with two or more windows was detected. B1 cuts a window every 0.5 s (6–13 windows on the same clips) and never meets this limit, so the shared debounce rule penalises only the adaptive method. The rule should count seconds of positive evidence rather than windows.</w:t>
      </w:r>
    </w:p>
    <w:p>
      <w:pPr>
        <w:ind w:firstLine="202"/>
        <w:jc w:val="both"/>
      </w:pPr>
      <w:r>
        <w:rPr>
          <w:rFonts w:ascii="Times New Roman" w:cs="Times New Roman" w:eastAsia="Times New Roman" w:hAnsi="Times New Roman"/>
          <w:b/>
          <w:bCs/>
        </w:rPr>
        <w:t xml:space="preserve">The LLM is not discriminating.</w:t>
      </w:r>
      <w:r>
        <w:rPr>
          <w:rFonts w:ascii="Times New Roman" w:cs="Times New Roman" w:eastAsia="Times New Roman" w:hAnsi="Times New Roman"/>
        </w:rPr>
        <w:t xml:space="preserve"> Every B3 window scored </w:t>
      </w:r>
      <w:r>
        <w:rPr>
          <w:rFonts w:ascii="Times New Roman" w:cs="Times New Roman" w:eastAsia="Times New Roman" w:hAnsi="Times New Roman"/>
          <w:i/>
          <w:iCs/>
        </w:rPr>
        <w:t xml:space="preserve">P</w:t>
      </w:r>
      <w:r>
        <w:rPr>
          <w:rFonts w:ascii="Times New Roman" w:cs="Times New Roman" w:eastAsia="Times New Roman" w:hAnsi="Times New Roman"/>
        </w:rPr>
        <w:t xml:space="preserve">(event) ≥ 0.5, including those of both normal clips; the normal dashcam clip was classed correctly only because it was also a single window. If single positive windows could open an event, B3 would give 12 TP, 2 FP and 0 TN, exactly B1's result. On this set, therefore, the detection gap between B1 and B3 comes from window counts and the debounce, not from better or worse evidence, and it does not yet show whether adaptive windows help.</w:t>
      </w:r>
    </w:p>
    <w:p>
      <w:pPr>
        <w:ind w:firstLine="202"/>
        <w:jc w:val="both"/>
      </w:pPr>
      <w:r>
        <w:rPr>
          <w:rFonts w:ascii="Times New Roman" w:cs="Times New Roman" w:eastAsia="Times New Roman" w:hAnsi="Times New Roman"/>
          <w:b/>
          <w:bCs/>
        </w:rPr>
        <w:t xml:space="preserve">False alarms.</w:t>
      </w:r>
      <w:r>
        <w:rPr>
          <w:rFonts w:ascii="Times New Roman" w:cs="Times New Roman" w:eastAsia="Times New Roman" w:hAnsi="Times New Roman"/>
        </w:rPr>
        <w:t xml:space="preserve"> The 30 s normal parking-lot clip was flagged by B3 in all 8 windows (confidence 0.987). The explanation reads “a collision between vehicles as evidenced by the presence of multiple vehicles and people”: the LLM equates a busy scene with a collision. Its strongest attributions are the current window's own captions (0.034 and 0.033), and every unit weighs under 0.04, so no single piece of evidence drove the decision. Together with the saturated confidences, this shows the label-probability confidence is poorly calibrated and 0.5 is far too low a threshold.</w:t>
      </w:r>
    </w:p>
    <w:p>
      <w:pPr>
        <w:ind w:firstLine="202"/>
        <w:jc w:val="both"/>
      </w:pPr>
      <w:r>
        <w:rPr>
          <w:rFonts w:ascii="Times New Roman" w:cs="Times New Roman" w:eastAsia="Times New Roman" w:hAnsi="Times New Roman"/>
          <w:b/>
          <w:bCs/>
        </w:rPr>
        <w:t xml:space="preserve">Explanations.</w:t>
      </w:r>
      <w:r>
        <w:rPr>
          <w:rFonts w:ascii="Times New Roman" w:cs="Times New Roman" w:eastAsia="Times New Roman" w:hAnsi="Times New Roman"/>
        </w:rPr>
        <w:t xml:space="preserve"> A positive faithfulness gap at every </w:t>
      </w:r>
      <w:r>
        <w:rPr>
          <w:rFonts w:ascii="Times New Roman" w:cs="Times New Roman" w:eastAsia="Times New Roman" w:hAnsi="Times New Roman"/>
          <w:i/>
          <w:iCs/>
        </w:rPr>
        <w:t xml:space="preserve">k</w:t>
      </w:r>
      <w:r>
        <w:rPr>
          <w:rFonts w:ascii="Times New Roman" w:cs="Times New Roman" w:eastAsia="Times New Roman" w:hAnsi="Times New Roman"/>
        </w:rPr>
        <w:t xml:space="preserve"> means the attribution ranking finds the evidence the model relies on better than chance, so E1 is informative. The effect is small, however, and the flip rates are close to random. The larger problem is grounding: the 1.5B LLM ignored the instruction to cite evidence IDs in all 8 events, so the explanations cannot be audited claim by claim. The pipeline measures this failure instead of hiding it, which is the purpose of the explainability layer.</w:t>
      </w:r>
    </w:p>
    <w:p>
      <w:pPr>
        <w:ind w:firstLine="202"/>
        <w:jc w:val="both"/>
      </w:pPr>
      <w:r>
        <w:rPr>
          <w:rFonts w:ascii="Times New Roman" w:cs="Times New Roman" w:eastAsia="Times New Roman" w:hAnsi="Times New Roman"/>
          <w:b/>
          <w:bCs/>
        </w:rPr>
        <w:t xml:space="preserve">Answers to the research questions.</w:t>
      </w:r>
      <w:r>
        <w:rPr>
          <w:rFonts w:ascii="Times New Roman" w:cs="Times New Roman" w:eastAsia="Times New Roman" w:hAnsi="Times New Roman"/>
        </w:rPr>
        <w:t xml:space="preserve"> RQ1: window-level retrieval returns more relevant evidence (P@5 0.89 vs. 0.58), but on this set it did not translate into better detection. RQ2: attribution beats random removal, but the temporal pointing game needs event times and is not yet measured. RQ3: adaptive windows cut VLM keyframes by 32% and LLM calls by 8×, but short clips were missed through the debounce, so the claim that no short events are lost is not supported. RQ4: counterfactual removal does separate attributed from random evidence (gap 0.06–0.07 at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2), though weakly.</w:t>
      </w:r>
    </w:p>
    <w:p>
      <w:pPr>
        <w:ind w:firstLine="202"/>
        <w:jc w:val="both"/>
      </w:pPr>
      <w:r>
        <w:rPr>
          <w:rFonts w:ascii="Times New Roman" w:cs="Times New Roman" w:eastAsia="Times New Roman" w:hAnsi="Times New Roman"/>
          <w:b/>
          <w:bCs/>
        </w:rPr>
        <w:t xml:space="preserve">Threats to validity.</w:t>
      </w:r>
      <w:r>
        <w:rPr>
          <w:rFonts w:ascii="Times New Roman" w:cs="Times New Roman" w:eastAsia="Times New Roman" w:hAnsi="Times New Roman"/>
        </w:rPr>
        <w:t xml:space="preserve"> The test set is small (14 clips) and mostly dashcam, while the target is fixed CCTV. The case library comes from the same pool as the test set (leave-one-video-out), which may inflate retrieval quality. Event times are not annotated, so short-event recall (RQ3) and the pointing game (RQ2) are not measured. The fixed-window variant (B2) was not run to completion, so the effect of adaptivity cannot be separated from that of windowing and hybrid retrieval. B3's measured VLM rate (83 keyframes/min) is above the 60/min target of the token bucket, so the budget match is approximate. Everything runs on a CPU, so latency is far from real time (P50 11.7–14.1 s per VLM keyframe; 12.7 s per B1 and 98.5 s per B3 LLM window; real-time factor 0.05), and the throughput numbers reflect this laptop, not the method.</w:t>
      </w:r>
    </w:p>
    <w:p>
      <w:pPr>
        <w:pStyle w:val="Heading1"/>
      </w:pPr>
      <w:r>
        <w:rPr>
          <w:rFonts w:ascii="Times New Roman" w:cs="Times New Roman" w:eastAsia="Times New Roman" w:hAnsi="Times New Roman"/>
        </w:rPr>
        <w:t xml:space="preserve">VIII. Conclusion and Future Work</w:t>
      </w:r>
    </w:p>
    <w:p>
      <w:pPr>
        <w:ind w:firstLine="202"/>
        <w:jc w:val="both"/>
      </w:pPr>
      <w:r>
        <w:rPr>
          <w:rFonts w:ascii="Times New Roman" w:cs="Times New Roman" w:eastAsia="Times New Roman" w:hAnsi="Times New Roman"/>
        </w:rPr>
        <w:t xml:space="preserve">We built X-StreamRAG, a Kafka-based streaming RAG pipeline that reproduces StreamingRAG as a baseline and extends it with adaptive temporal windows, window-level hybrid retrieval and a measurable explainability layer. On 14 clips it matched the baseline's precision with 8× fewer LLM calls and much better retrieval, but missed five short clips because of a window-count debounce, and its explanations were only weakly faithful and cited no evidence. Future work: calibrating the event threshold, a duration-based debounce, evaluation on UCF-Crime and TAD with annotated event times, the fixed-window and budget-sweep experiments for RQ3, GPU deployment for real-time latency, and a human rating of explanation quality.</w:t>
      </w:r>
    </w:p>
    <w:p>
      <w:pPr>
        <w:pStyle w:val="Heading1"/>
      </w:pPr>
      <w:r>
        <w:rPr>
          <w:rFonts w:ascii="Times New Roman" w:cs="Times New Roman" w:eastAsia="Times New Roman" w:hAnsi="Times New Roman"/>
        </w:rPr>
        <w:t xml:space="preserve">References</w:t>
      </w:r>
    </w:p>
    <w:p>
      <w:pPr>
        <w:tabs>
          <w:tab w:val="left" w:pos="400"/>
        </w:tabs>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Lewis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“Retrieval-augmented generation for knowledge-intensive NLP tasks,”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2020.</w:t>
      </w:r>
    </w:p>
    <w:p>
      <w:pPr>
        <w:tabs>
          <w:tab w:val="left" w:pos="400"/>
        </w:tabs>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Sankaradas, R. K. Rajendran, and S. T. Chakradhar, “StreamingRAG: Real-time contextual retrieval and generation framework,” in </w:t>
      </w:r>
      <w:r>
        <w:rPr>
          <w:rFonts w:ascii="Times New Roman" w:cs="Times New Roman" w:eastAsia="Times New Roman" w:hAnsi="Times New Roman"/>
          <w:i/>
          <w:iCs/>
          <w:sz w:val="16"/>
          <w:szCs w:val="16"/>
        </w:rPr>
        <w:t xml:space="preserve">Proc. AI4Sys</w:t>
      </w:r>
      <w:r>
        <w:rPr>
          <w:rFonts w:ascii="Times New Roman" w:cs="Times New Roman" w:eastAsia="Times New Roman" w:hAnsi="Times New Roman"/>
          <w:sz w:val="16"/>
          <w:szCs w:val="16"/>
        </w:rPr>
        <w:t xml:space="preserve">, 2024, arXiv:2501.14101.</w:t>
      </w:r>
    </w:p>
    <w:p>
      <w:pPr>
        <w:tabs>
          <w:tab w:val="left" w:pos="400"/>
        </w:tabs>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Xu, Deng, and Jin, “TD-RAG: Time-aware dynamic-window RAG for risk early warning,” in </w:t>
      </w:r>
      <w:r>
        <w:rPr>
          <w:rFonts w:ascii="Times New Roman" w:cs="Times New Roman" w:eastAsia="Times New Roman" w:hAnsi="Times New Roman"/>
          <w:i/>
          <w:iCs/>
          <w:sz w:val="16"/>
          <w:szCs w:val="16"/>
        </w:rPr>
        <w:t xml:space="preserve">Proc. IEEE CyberSciTech</w:t>
      </w:r>
      <w:r>
        <w:rPr>
          <w:rFonts w:ascii="Times New Roman" w:cs="Times New Roman" w:eastAsia="Times New Roman" w:hAnsi="Times New Roman"/>
          <w:sz w:val="16"/>
          <w:szCs w:val="16"/>
        </w:rPr>
        <w:t xml:space="preserve">, 2025.</w:t>
      </w:r>
    </w:p>
    <w:p>
      <w:pPr>
        <w:tabs>
          <w:tab w:val="left" w:pos="400"/>
        </w:tabs>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Gudipati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“CityCopilot-X: A real-time explainability panel for RAG,” in </w:t>
      </w:r>
      <w:r>
        <w:rPr>
          <w:rFonts w:ascii="Times New Roman" w:cs="Times New Roman" w:eastAsia="Times New Roman" w:hAnsi="Times New Roman"/>
          <w:i/>
          <w:iCs/>
          <w:sz w:val="16"/>
          <w:szCs w:val="16"/>
        </w:rPr>
        <w:t xml:space="preserve">Proc. IEEE ICAIC</w:t>
      </w:r>
      <w:r>
        <w:rPr>
          <w:rFonts w:ascii="Times New Roman" w:cs="Times New Roman" w:eastAsia="Times New Roman" w:hAnsi="Times New Roman"/>
          <w:sz w:val="16"/>
          <w:szCs w:val="16"/>
        </w:rPr>
        <w:t xml:space="preserve">, 2026.</w:t>
      </w:r>
    </w:p>
    <w:p>
      <w:pPr>
        <w:tabs>
          <w:tab w:val="left" w:pos="400"/>
        </w:tabs>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Xie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“StreamRAG: Enhancing real-time video understanding with retrieval augmentation,” in </w:t>
      </w:r>
      <w:r>
        <w:rPr>
          <w:rFonts w:ascii="Times New Roman" w:cs="Times New Roman" w:eastAsia="Times New Roman" w:hAnsi="Times New Roman"/>
          <w:i/>
          <w:iCs/>
          <w:sz w:val="16"/>
          <w:szCs w:val="16"/>
        </w:rPr>
        <w:t xml:space="preserve">Proc. CVPR</w:t>
      </w:r>
      <w:r>
        <w:rPr>
          <w:rFonts w:ascii="Times New Roman" w:cs="Times New Roman" w:eastAsia="Times New Roman" w:hAnsi="Times New Roman"/>
          <w:sz w:val="16"/>
          <w:szCs w:val="16"/>
        </w:rPr>
        <w:t xml:space="preserve">, 2026.</w:t>
      </w:r>
    </w:p>
    <w:p>
      <w:pPr>
        <w:tabs>
          <w:tab w:val="left" w:pos="400"/>
        </w:tabs>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Radford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“Learning transferable visual models from natural language supervision,” in </w:t>
      </w:r>
      <w:r>
        <w:rPr>
          <w:rFonts w:ascii="Times New Roman" w:cs="Times New Roman" w:eastAsia="Times New Roman" w:hAnsi="Times New Roman"/>
          <w:i/>
          <w:iCs/>
          <w:sz w:val="16"/>
          <w:szCs w:val="16"/>
        </w:rPr>
        <w:t xml:space="preserve">Proc. ICML</w:t>
      </w:r>
      <w:r>
        <w:rPr>
          <w:rFonts w:ascii="Times New Roman" w:cs="Times New Roman" w:eastAsia="Times New Roman" w:hAnsi="Times New Roman"/>
          <w:sz w:val="16"/>
          <w:szCs w:val="16"/>
        </w:rPr>
        <w:t xml:space="preserve">, 2021.</w:t>
      </w:r>
    </w:p>
    <w:p>
      <w:pPr>
        <w:tabs>
          <w:tab w:val="left" w:pos="400"/>
        </w:tabs>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Marafioti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“SmolVLM: Redefining small and efficient multimodal models,” arXiv:2504.05299, 2025.</w:t>
      </w:r>
    </w:p>
    <w:p>
      <w:pPr>
        <w:tabs>
          <w:tab w:val="left" w:pos="400"/>
        </w:tabs>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M. Douze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“The FAISS library,” arXiv:2401.08281, 2024.</w:t>
      </w:r>
    </w:p>
    <w:p>
      <w:pPr>
        <w:tabs>
          <w:tab w:val="left" w:pos="400"/>
        </w:tabs>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 Robertson and H. Zaragoza, “The probabilistic relevance framework: BM25 and beyond,” </w:t>
      </w:r>
      <w:r>
        <w:rPr>
          <w:rFonts w:ascii="Times New Roman" w:cs="Times New Roman" w:eastAsia="Times New Roman" w:hAnsi="Times New Roman"/>
          <w:i/>
          <w:iCs/>
          <w:sz w:val="16"/>
          <w:szCs w:val="16"/>
        </w:rPr>
        <w:t xml:space="preserve">Found. Trends Inf. Retr.</w:t>
      </w:r>
      <w:r>
        <w:rPr>
          <w:rFonts w:ascii="Times New Roman" w:cs="Times New Roman" w:eastAsia="Times New Roman" w:hAnsi="Times New Roman"/>
          <w:sz w:val="16"/>
          <w:szCs w:val="16"/>
        </w:rPr>
        <w:t xml:space="preserve">, vol. 3, no. 4, 2009.</w:t>
      </w:r>
    </w:p>
    <w:p>
      <w:pPr>
        <w:tabs>
          <w:tab w:val="left" w:pos="400"/>
        </w:tabs>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Bifet and R. Gavaldà, “Learning from time-changing data with adaptive windowing,” in </w:t>
      </w:r>
      <w:r>
        <w:rPr>
          <w:rFonts w:ascii="Times New Roman" w:cs="Times New Roman" w:eastAsia="Times New Roman" w:hAnsi="Times New Roman"/>
          <w:i/>
          <w:iCs/>
          <w:sz w:val="16"/>
          <w:szCs w:val="16"/>
        </w:rPr>
        <w:t xml:space="preserve">Proc. SIAM SDM</w:t>
      </w:r>
      <w:r>
        <w:rPr>
          <w:rFonts w:ascii="Times New Roman" w:cs="Times New Roman" w:eastAsia="Times New Roman" w:hAnsi="Times New Roman"/>
          <w:sz w:val="16"/>
          <w:szCs w:val="16"/>
        </w:rPr>
        <w:t xml:space="preserve">, 2007.</w:t>
      </w:r>
    </w:p>
    <w:p>
      <w:pPr>
        <w:tabs>
          <w:tab w:val="left" w:pos="400"/>
        </w:tabs>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B. Cohen-Wang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“ContextCite: Attributing model generation to context,”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2024.</w:t>
      </w:r>
    </w:p>
    <w:p>
      <w:pPr>
        <w:tabs>
          <w:tab w:val="left" w:pos="400"/>
        </w:tabs>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W. Sultani, C. Chen, and M. Shah, “Real-world anomaly detection in surveillance videos,” in </w:t>
      </w:r>
      <w:r>
        <w:rPr>
          <w:rFonts w:ascii="Times New Roman" w:cs="Times New Roman" w:eastAsia="Times New Roman" w:hAnsi="Times New Roman"/>
          <w:i/>
          <w:iCs/>
          <w:sz w:val="16"/>
          <w:szCs w:val="16"/>
        </w:rPr>
        <w:t xml:space="preserve">Proc. CVPR</w:t>
      </w:r>
      <w:r>
        <w:rPr>
          <w:rFonts w:ascii="Times New Roman" w:cs="Times New Roman" w:eastAsia="Times New Roman" w:hAnsi="Times New Roman"/>
          <w:sz w:val="16"/>
          <w:szCs w:val="16"/>
        </w:rPr>
        <w:t xml:space="preserve">, 2018.</w:t>
      </w:r>
    </w:p>
    <w:sectPr>
      <w:type w:val="continuous"/>
      <w:pgSz w:w="12240" w:h="15840" w:orient="portrait"/>
      <w:pgMar w:top="1080" w:right="900" w:bottom="1440" w:left="900" w:header="708" w:footer="708" w:gutter="0"/>
      <w:pgNumType/>
      <w:cols w:space="245"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smallCap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a759fb15146ece96259013b7043cf0ab3998572.png"/><Relationship Id="rId7" Type="http://schemas.openxmlformats.org/officeDocument/2006/relationships/image" Target="media/3b33e05678fbbed57da90010a136e440e16629b9.png"/><Relationship Id="rId8" Type="http://schemas.openxmlformats.org/officeDocument/2006/relationships/image" Target="media/f014c39920f9e3043661873d2a7bf95034801f26.png"/><Relationship Id="rId9" Type="http://schemas.openxmlformats.org/officeDocument/2006/relationships/image" Target="media/54e1e49d63df30e8cf6a3d9e5b5a90710a66d47f.png"/><Relationship Id="rId10" Type="http://schemas.openxmlformats.org/officeDocument/2006/relationships/image" Target="media/660784ec368d5532856d543dc15acd21a306ed8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X-StreamRAG: Explainable Time-Aware Streaming RAG for Real-Time Video Event Detection</dc:title>
  <dc:creator>X-StreamRAG Group 15</dc:creator>
  <cp:lastModifiedBy>Un-named</cp:lastModifiedBy>
  <cp:revision>1</cp:revision>
  <dcterms:created xsi:type="dcterms:W3CDTF">2026-10-17T18:54:21.197Z</dcterms:created>
  <dcterms:modified xsi:type="dcterms:W3CDTF">2026-10-17T18:54:21.198Z</dcterms:modified>
</cp:coreProperties>
</file>

<file path=docProps/custom.xml><?xml version="1.0" encoding="utf-8"?>
<Properties xmlns="http://schemas.openxmlformats.org/officeDocument/2006/custom-properties" xmlns:vt="http://schemas.openxmlformats.org/officeDocument/2006/docPropsVTypes"/>
</file>