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64" w:rsidRPr="00C35C64" w:rsidRDefault="00C35C64" w:rsidP="00C35C64">
      <w:pPr>
        <w:spacing w:afterLines="50" w:after="120"/>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第一條 為提升公司治理，避免內部人違反</w:t>
      </w:r>
      <w:bookmarkStart w:id="0" w:name="_GoBack"/>
      <w:bookmarkEnd w:id="0"/>
      <w:r w:rsidRPr="00C35C64">
        <w:rPr>
          <w:rFonts w:ascii="標楷體" w:eastAsia="標楷體" w:hAnsi="標楷體" w:hint="eastAsia"/>
          <w:color w:val="000000"/>
          <w:spacing w:val="20"/>
          <w:szCs w:val="24"/>
        </w:rPr>
        <w:t>相關證管法令，特訂定防範內部人持股變動違規辦法(下稱本辦法)。</w:t>
      </w:r>
    </w:p>
    <w:p w:rsidR="00C35C64" w:rsidRPr="00C35C64" w:rsidRDefault="00C35C64" w:rsidP="00C35C64">
      <w:pPr>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第二條 名詞定義：</w:t>
      </w:r>
    </w:p>
    <w:p w:rsidR="00C35C64" w:rsidRPr="00C35C64" w:rsidRDefault="00C35C64" w:rsidP="00C35C64">
      <w:pPr>
        <w:pStyle w:val="HTML"/>
        <w:numPr>
          <w:ilvl w:val="0"/>
          <w:numId w:val="1"/>
        </w:numPr>
        <w:ind w:left="1701"/>
        <w:jc w:val="both"/>
        <w:rPr>
          <w:rFonts w:ascii="標楷體" w:eastAsia="標楷體" w:hAnsi="標楷體" w:cstheme="minorBidi"/>
          <w:color w:val="000000"/>
          <w:spacing w:val="20"/>
          <w:kern w:val="2"/>
        </w:rPr>
      </w:pPr>
      <w:r w:rsidRPr="00C35C64">
        <w:rPr>
          <w:rFonts w:ascii="標楷體" w:eastAsia="標楷體" w:hAnsi="標楷體" w:hint="eastAsia"/>
          <w:color w:val="000000"/>
          <w:spacing w:val="20"/>
        </w:rPr>
        <w:t>內部人：指本</w:t>
      </w:r>
      <w:r w:rsidRPr="00C35C64">
        <w:rPr>
          <w:rFonts w:ascii="標楷體" w:eastAsia="標楷體" w:hAnsi="標楷體" w:cstheme="minorBidi"/>
          <w:color w:val="000000"/>
          <w:spacing w:val="20"/>
          <w:kern w:val="2"/>
        </w:rPr>
        <w:t>公司之董事</w:t>
      </w:r>
      <w:r w:rsidRPr="00C35C64">
        <w:rPr>
          <w:rFonts w:ascii="標楷體" w:eastAsia="標楷體" w:hAnsi="標楷體" w:cstheme="minorBidi" w:hint="eastAsia"/>
          <w:color w:val="000000"/>
          <w:spacing w:val="20"/>
          <w:kern w:val="2"/>
        </w:rPr>
        <w:t>(含獨立董事)</w:t>
      </w:r>
      <w:r w:rsidRPr="00C35C64">
        <w:rPr>
          <w:rFonts w:ascii="標楷體" w:eastAsia="標楷體" w:hAnsi="標楷體" w:cstheme="minorBidi"/>
          <w:color w:val="000000"/>
          <w:spacing w:val="20"/>
          <w:kern w:val="2"/>
        </w:rPr>
        <w:t>、經理人或持有</w:t>
      </w:r>
      <w:r w:rsidRPr="00C35C64">
        <w:rPr>
          <w:rFonts w:ascii="標楷體" w:eastAsia="標楷體" w:hAnsi="標楷體" w:cstheme="minorBidi" w:hint="eastAsia"/>
          <w:color w:val="000000"/>
          <w:spacing w:val="20"/>
          <w:kern w:val="2"/>
        </w:rPr>
        <w:t>本</w:t>
      </w:r>
      <w:r w:rsidRPr="00C35C64">
        <w:rPr>
          <w:rFonts w:ascii="標楷體" w:eastAsia="標楷體" w:hAnsi="標楷體" w:cstheme="minorBidi"/>
          <w:color w:val="000000"/>
          <w:spacing w:val="20"/>
          <w:kern w:val="2"/>
        </w:rPr>
        <w:t>公司</w:t>
      </w:r>
      <w:r w:rsidRPr="00C35C64">
        <w:rPr>
          <w:rFonts w:ascii="標楷體" w:eastAsia="標楷體" w:hAnsi="標楷體" w:cstheme="minorBidi" w:hint="eastAsia"/>
          <w:color w:val="000000"/>
          <w:spacing w:val="20"/>
          <w:kern w:val="2"/>
        </w:rPr>
        <w:t>已發行</w:t>
      </w:r>
      <w:r w:rsidRPr="00C35C64">
        <w:rPr>
          <w:rFonts w:ascii="標楷體" w:eastAsia="標楷體" w:hAnsi="標楷體" w:cstheme="minorBidi"/>
          <w:color w:val="000000"/>
          <w:spacing w:val="20"/>
          <w:kern w:val="2"/>
        </w:rPr>
        <w:t>股份總額百分之十之股東</w:t>
      </w:r>
      <w:r w:rsidRPr="00C35C64">
        <w:rPr>
          <w:rFonts w:ascii="標楷體" w:eastAsia="標楷體" w:hAnsi="標楷體" w:cstheme="minorBidi" w:hint="eastAsia"/>
          <w:color w:val="000000"/>
          <w:spacing w:val="20"/>
          <w:kern w:val="2"/>
        </w:rPr>
        <w:t>。</w:t>
      </w:r>
    </w:p>
    <w:p w:rsidR="00C35C64" w:rsidRPr="00C35C64" w:rsidRDefault="00C35C64" w:rsidP="00C35C64">
      <w:pPr>
        <w:pStyle w:val="HTML"/>
        <w:numPr>
          <w:ilvl w:val="0"/>
          <w:numId w:val="1"/>
        </w:numPr>
        <w:ind w:left="1701"/>
        <w:jc w:val="both"/>
        <w:rPr>
          <w:rFonts w:ascii="標楷體" w:eastAsia="標楷體" w:hAnsi="標楷體" w:cstheme="minorBidi"/>
          <w:color w:val="000000"/>
          <w:spacing w:val="20"/>
          <w:kern w:val="2"/>
        </w:rPr>
      </w:pPr>
      <w:r w:rsidRPr="00C35C64">
        <w:rPr>
          <w:rFonts w:ascii="標楷體" w:eastAsia="標楷體" w:hAnsi="標楷體" w:hint="eastAsia"/>
          <w:color w:val="000000"/>
          <w:spacing w:val="20"/>
        </w:rPr>
        <w:t>重大</w:t>
      </w:r>
      <w:r w:rsidRPr="00C35C64">
        <w:rPr>
          <w:rFonts w:ascii="標楷體" w:eastAsia="標楷體" w:hAnsi="標楷體" w:cstheme="minorBidi" w:hint="eastAsia"/>
          <w:color w:val="000000"/>
          <w:spacing w:val="20"/>
          <w:kern w:val="2"/>
        </w:rPr>
        <w:t>訊息：</w:t>
      </w:r>
      <w:r w:rsidRPr="00C35C64">
        <w:rPr>
          <w:rFonts w:ascii="標楷體" w:eastAsia="標楷體" w:hAnsi="標楷體" w:hint="eastAsia"/>
          <w:color w:val="000000"/>
          <w:spacing w:val="20"/>
        </w:rPr>
        <w:t>係指</w:t>
      </w:r>
      <w:r w:rsidRPr="00C35C64">
        <w:rPr>
          <w:rFonts w:ascii="標楷體" w:eastAsia="標楷體" w:hAnsi="標楷體" w:hint="eastAsia"/>
          <w:bCs/>
          <w:color w:val="000000"/>
          <w:spacing w:val="20"/>
        </w:rPr>
        <w:t>證券交易法及相關法律、命令暨臺灣證券交易所相關規章所稱重大訊息。</w:t>
      </w:r>
    </w:p>
    <w:p w:rsidR="00C35C64" w:rsidRPr="00C35C64" w:rsidRDefault="00C35C64" w:rsidP="00C35C64">
      <w:pPr>
        <w:spacing w:afterLines="50" w:after="120"/>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第三條 本</w:t>
      </w:r>
      <w:r w:rsidRPr="00C35C64">
        <w:rPr>
          <w:rFonts w:ascii="標楷體" w:eastAsia="標楷體" w:hAnsi="標楷體"/>
          <w:color w:val="000000"/>
          <w:spacing w:val="20"/>
          <w:szCs w:val="24"/>
        </w:rPr>
        <w:t>公司</w:t>
      </w:r>
      <w:r w:rsidRPr="00C35C64">
        <w:rPr>
          <w:rFonts w:ascii="標楷體" w:eastAsia="標楷體" w:hAnsi="標楷體" w:hint="eastAsia"/>
          <w:color w:val="000000"/>
          <w:spacing w:val="20"/>
          <w:szCs w:val="24"/>
        </w:rPr>
        <w:t>內部人應有義務使其配偶及未成年子女遵循主管機關相關法令及本辦法之規定。</w:t>
      </w:r>
    </w:p>
    <w:p w:rsidR="00C35C64" w:rsidRPr="00C35C64" w:rsidRDefault="00C35C64" w:rsidP="00C35C64">
      <w:pPr>
        <w:spacing w:afterLines="50" w:after="120"/>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第四條 本</w:t>
      </w:r>
      <w:r w:rsidRPr="00C35C64">
        <w:rPr>
          <w:rFonts w:ascii="標楷體" w:eastAsia="標楷體" w:hAnsi="標楷體"/>
          <w:color w:val="000000"/>
          <w:spacing w:val="20"/>
          <w:szCs w:val="24"/>
        </w:rPr>
        <w:t>公司</w:t>
      </w:r>
      <w:r w:rsidRPr="00C35C64">
        <w:rPr>
          <w:rFonts w:ascii="標楷體" w:eastAsia="標楷體" w:hAnsi="標楷體" w:hint="eastAsia"/>
          <w:color w:val="000000"/>
          <w:spacing w:val="20"/>
          <w:szCs w:val="24"/>
        </w:rPr>
        <w:t>內部人因結婚、離婚、生育、死亡、未成年子女成年等因素而發生變動時，應於事實發生後2日內通知本公司財務部。</w:t>
      </w:r>
      <w:r w:rsidRPr="00C35C64">
        <w:rPr>
          <w:rFonts w:ascii="標楷體" w:eastAsia="標楷體" w:hAnsi="標楷體"/>
          <w:color w:val="000000"/>
          <w:spacing w:val="20"/>
          <w:szCs w:val="24"/>
        </w:rPr>
        <w:t>對無監護權之未成年子女仍應申報該子女之持股異動。</w:t>
      </w:r>
    </w:p>
    <w:p w:rsidR="00C35C64" w:rsidRPr="00C35C64" w:rsidRDefault="00C35C64" w:rsidP="00C35C64">
      <w:pPr>
        <w:spacing w:afterLines="50" w:after="120"/>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第五條 本公司內部人(含關係人)取得身分需屆滿6個月，始能於集中交易市場賣出股票。</w:t>
      </w:r>
    </w:p>
    <w:p w:rsidR="00C35C64" w:rsidRPr="00C35C64" w:rsidRDefault="00C35C64" w:rsidP="00C35C64">
      <w:pPr>
        <w:spacing w:afterLines="50" w:after="120"/>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第六條 本公司內部人應熟悉並遵守關於本公司重大訊息及對本公司持股變動申報之相關規定，並接受每半年一次之相關課程及測驗。</w:t>
      </w:r>
    </w:p>
    <w:p w:rsidR="00C35C64" w:rsidRPr="00C35C64" w:rsidRDefault="00C35C64" w:rsidP="00C35C64">
      <w:pPr>
        <w:spacing w:afterLines="50" w:after="120"/>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第七條 本公司內部人不得為規避申報規定而以他人名義持有本公司之股份。</w:t>
      </w:r>
    </w:p>
    <w:p w:rsidR="00C35C64" w:rsidRPr="00C35C64" w:rsidRDefault="00C35C64" w:rsidP="00C35C64">
      <w:pPr>
        <w:spacing w:afterLines="50" w:after="120"/>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第八條 於實際知悉本公司「內部重大資訊處理作業程序」所稱之內部重大資訊時，在該消息明確後，未公開前或公開後</w:t>
      </w:r>
      <w:r w:rsidRPr="00C35C64">
        <w:rPr>
          <w:rFonts w:ascii="標楷體" w:eastAsia="標楷體" w:hAnsi="標楷體"/>
          <w:color w:val="000000"/>
          <w:spacing w:val="20"/>
          <w:szCs w:val="24"/>
        </w:rPr>
        <w:t>18</w:t>
      </w:r>
      <w:r w:rsidRPr="00C35C64">
        <w:rPr>
          <w:rFonts w:ascii="標楷體" w:eastAsia="標楷體" w:hAnsi="標楷體" w:hint="eastAsia"/>
          <w:color w:val="000000"/>
          <w:spacing w:val="20"/>
          <w:szCs w:val="24"/>
        </w:rPr>
        <w:t>小時內，本公司內部人不得對本公司之股票或其他具有股權性質之有價證券，自行或以他人名義買入或賣出。</w:t>
      </w:r>
    </w:p>
    <w:p w:rsidR="00C35C64" w:rsidRPr="00C35C64" w:rsidRDefault="00C35C64" w:rsidP="00C35C64">
      <w:pPr>
        <w:spacing w:afterLines="50" w:after="120"/>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第九條 本</w:t>
      </w:r>
      <w:r w:rsidRPr="00C35C64">
        <w:rPr>
          <w:rFonts w:ascii="標楷體" w:eastAsia="標楷體" w:hAnsi="標楷體"/>
          <w:color w:val="000000"/>
          <w:spacing w:val="20"/>
          <w:szCs w:val="24"/>
        </w:rPr>
        <w:t>公司之董事、經理人或持有公司股份超過股份總額百分之十之股東，其股票之轉讓，應依</w:t>
      </w:r>
      <w:r w:rsidRPr="00C35C64">
        <w:rPr>
          <w:rFonts w:ascii="標楷體" w:eastAsia="標楷體" w:hAnsi="標楷體" w:hint="eastAsia"/>
          <w:color w:val="000000"/>
          <w:spacing w:val="20"/>
          <w:szCs w:val="24"/>
        </w:rPr>
        <w:t>下</w:t>
      </w:r>
      <w:r w:rsidRPr="00C35C64">
        <w:rPr>
          <w:rFonts w:ascii="標楷體" w:eastAsia="標楷體" w:hAnsi="標楷體"/>
          <w:color w:val="000000"/>
          <w:spacing w:val="20"/>
          <w:szCs w:val="24"/>
        </w:rPr>
        <w:t>列方式之一為之：</w:t>
      </w:r>
    </w:p>
    <w:p w:rsidR="00C35C64" w:rsidRPr="00C35C64" w:rsidRDefault="00C35C64" w:rsidP="00C35C64">
      <w:pPr>
        <w:pStyle w:val="a5"/>
        <w:numPr>
          <w:ilvl w:val="0"/>
          <w:numId w:val="2"/>
        </w:numPr>
        <w:spacing w:afterLines="50" w:after="120"/>
        <w:ind w:leftChars="0" w:left="1701"/>
        <w:jc w:val="both"/>
        <w:rPr>
          <w:rFonts w:ascii="標楷體" w:eastAsia="標楷體" w:hAnsi="標楷體"/>
          <w:color w:val="000000"/>
          <w:spacing w:val="20"/>
          <w:szCs w:val="24"/>
        </w:rPr>
      </w:pPr>
      <w:r w:rsidRPr="00C35C64">
        <w:rPr>
          <w:rFonts w:ascii="標楷體" w:eastAsia="標楷體" w:hAnsi="標楷體"/>
          <w:color w:val="000000"/>
          <w:spacing w:val="20"/>
          <w:szCs w:val="24"/>
        </w:rPr>
        <w:t>經主管機關核准或自申報主管機關生效日後，向非特定人為之。</w:t>
      </w:r>
    </w:p>
    <w:p w:rsidR="00C35C64" w:rsidRPr="00C35C64" w:rsidRDefault="00C35C64" w:rsidP="00C35C64">
      <w:pPr>
        <w:pStyle w:val="a5"/>
        <w:numPr>
          <w:ilvl w:val="0"/>
          <w:numId w:val="2"/>
        </w:numPr>
        <w:spacing w:afterLines="50" w:after="120"/>
        <w:ind w:leftChars="0" w:left="1701"/>
        <w:jc w:val="both"/>
        <w:rPr>
          <w:rFonts w:ascii="標楷體" w:eastAsia="標楷體" w:hAnsi="標楷體"/>
          <w:color w:val="000000"/>
          <w:spacing w:val="20"/>
          <w:szCs w:val="24"/>
        </w:rPr>
      </w:pPr>
      <w:r w:rsidRPr="00C35C64">
        <w:rPr>
          <w:rFonts w:ascii="標楷體" w:eastAsia="標楷體" w:hAnsi="標楷體"/>
          <w:color w:val="000000"/>
          <w:spacing w:val="20"/>
          <w:szCs w:val="24"/>
        </w:rPr>
        <w:t>依主管機關所定持有期間及每一交易日得轉讓數量比例，於向主管機關申報之日起</w:t>
      </w:r>
      <w:r w:rsidRPr="00C35C64">
        <w:rPr>
          <w:rFonts w:ascii="標楷體" w:eastAsia="標楷體" w:hAnsi="標楷體" w:hint="eastAsia"/>
          <w:color w:val="000000"/>
          <w:spacing w:val="20"/>
          <w:szCs w:val="24"/>
        </w:rPr>
        <w:t>3</w:t>
      </w:r>
      <w:r w:rsidRPr="00C35C64">
        <w:rPr>
          <w:rFonts w:ascii="標楷體" w:eastAsia="標楷體" w:hAnsi="標楷體"/>
          <w:color w:val="000000"/>
          <w:spacing w:val="20"/>
          <w:szCs w:val="24"/>
        </w:rPr>
        <w:t>日後，在集中交易市場或證券商營業處所為之。但每一交易日轉讓股數未超過一萬股者，免予申報。</w:t>
      </w:r>
    </w:p>
    <w:p w:rsidR="00C35C64" w:rsidRPr="00C35C64" w:rsidRDefault="00C35C64" w:rsidP="00C35C64">
      <w:pPr>
        <w:pStyle w:val="a5"/>
        <w:numPr>
          <w:ilvl w:val="0"/>
          <w:numId w:val="2"/>
        </w:numPr>
        <w:spacing w:afterLines="50" w:after="120"/>
        <w:ind w:leftChars="0" w:left="1701"/>
        <w:jc w:val="both"/>
        <w:rPr>
          <w:rFonts w:ascii="標楷體" w:eastAsia="標楷體" w:hAnsi="標楷體"/>
          <w:color w:val="000000"/>
          <w:spacing w:val="20"/>
          <w:szCs w:val="24"/>
        </w:rPr>
      </w:pPr>
      <w:r w:rsidRPr="00C35C64">
        <w:rPr>
          <w:rFonts w:ascii="標楷體" w:eastAsia="標楷體" w:hAnsi="標楷體"/>
          <w:color w:val="000000"/>
          <w:spacing w:val="20"/>
          <w:szCs w:val="24"/>
        </w:rPr>
        <w:t>於向主管機關申報之日起</w:t>
      </w:r>
      <w:r w:rsidRPr="00C35C64">
        <w:rPr>
          <w:rFonts w:ascii="標楷體" w:eastAsia="標楷體" w:hAnsi="標楷體" w:hint="eastAsia"/>
          <w:color w:val="000000"/>
          <w:spacing w:val="20"/>
          <w:szCs w:val="24"/>
        </w:rPr>
        <w:t>3</w:t>
      </w:r>
      <w:r w:rsidRPr="00C35C64">
        <w:rPr>
          <w:rFonts w:ascii="標楷體" w:eastAsia="標楷體" w:hAnsi="標楷體"/>
          <w:color w:val="000000"/>
          <w:spacing w:val="20"/>
          <w:szCs w:val="24"/>
        </w:rPr>
        <w:t>日內，向符合主管機關所定條件之特定人為之。</w:t>
      </w:r>
    </w:p>
    <w:p w:rsidR="00C35C64" w:rsidRPr="00C35C64" w:rsidRDefault="00C35C64" w:rsidP="00C35C64">
      <w:pPr>
        <w:pStyle w:val="a5"/>
        <w:spacing w:afterLines="50" w:after="120"/>
        <w:ind w:leftChars="0" w:left="992"/>
        <w:jc w:val="both"/>
        <w:rPr>
          <w:rFonts w:ascii="標楷體" w:eastAsia="標楷體" w:hAnsi="標楷體"/>
          <w:color w:val="000000"/>
          <w:spacing w:val="20"/>
          <w:szCs w:val="24"/>
        </w:rPr>
      </w:pPr>
      <w:r w:rsidRPr="00C35C64">
        <w:rPr>
          <w:rFonts w:ascii="標楷體" w:eastAsia="標楷體" w:hAnsi="標楷體"/>
          <w:color w:val="000000"/>
          <w:spacing w:val="20"/>
          <w:szCs w:val="24"/>
        </w:rPr>
        <w:t>經由前項第三款受讓之股票，受讓人在</w:t>
      </w:r>
      <w:r w:rsidRPr="00C35C64">
        <w:rPr>
          <w:rFonts w:ascii="標楷體" w:eastAsia="標楷體" w:hAnsi="標楷體" w:hint="eastAsia"/>
          <w:color w:val="000000"/>
          <w:spacing w:val="20"/>
          <w:szCs w:val="24"/>
        </w:rPr>
        <w:t>1</w:t>
      </w:r>
      <w:r w:rsidRPr="00C35C64">
        <w:rPr>
          <w:rFonts w:ascii="標楷體" w:eastAsia="標楷體" w:hAnsi="標楷體"/>
          <w:color w:val="000000"/>
          <w:spacing w:val="20"/>
          <w:szCs w:val="24"/>
        </w:rPr>
        <w:t>年內欲轉讓其股票，仍須依前項各款所列方式之一為之。</w:t>
      </w:r>
    </w:p>
    <w:p w:rsidR="00C35C64" w:rsidRPr="00C35C64" w:rsidRDefault="00C35C64" w:rsidP="00C35C64">
      <w:pPr>
        <w:pStyle w:val="a5"/>
        <w:spacing w:afterLines="50" w:after="120"/>
        <w:ind w:leftChars="0" w:left="992"/>
        <w:jc w:val="both"/>
        <w:rPr>
          <w:rFonts w:ascii="標楷體" w:eastAsia="標楷體" w:hAnsi="標楷體"/>
          <w:color w:val="000000"/>
          <w:spacing w:val="20"/>
          <w:szCs w:val="24"/>
        </w:rPr>
      </w:pPr>
      <w:r w:rsidRPr="00C35C64">
        <w:rPr>
          <w:rFonts w:ascii="標楷體" w:eastAsia="標楷體" w:hAnsi="標楷體"/>
          <w:color w:val="000000"/>
          <w:spacing w:val="20"/>
          <w:szCs w:val="24"/>
        </w:rPr>
        <w:t>第一項之人持有之股票，包括其配偶、未成年子女及利用他人名義持有者。</w:t>
      </w:r>
    </w:p>
    <w:p w:rsidR="00C35C64" w:rsidRPr="00C35C64" w:rsidRDefault="00C35C64" w:rsidP="00C35C64">
      <w:pPr>
        <w:spacing w:afterLines="50" w:after="120"/>
        <w:ind w:left="991" w:hangingChars="354" w:hanging="99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lastRenderedPageBreak/>
        <w:t>第十條 內部人及其配偶、未成年子女及利用他人名義持有者，每日  於集中交易市場得轉讓股數未超過10</w:t>
      </w:r>
      <w:r w:rsidRPr="00C35C64">
        <w:rPr>
          <w:rFonts w:ascii="標楷體" w:eastAsia="標楷體" w:hAnsi="標楷體"/>
          <w:color w:val="000000"/>
          <w:spacing w:val="20"/>
          <w:szCs w:val="24"/>
        </w:rPr>
        <w:t>,000</w:t>
      </w:r>
      <w:r w:rsidRPr="00C35C64">
        <w:rPr>
          <w:rFonts w:ascii="標楷體" w:eastAsia="標楷體" w:hAnsi="標楷體" w:hint="eastAsia"/>
          <w:color w:val="000000"/>
          <w:spacing w:val="20"/>
          <w:szCs w:val="24"/>
        </w:rPr>
        <w:t>股者，免辦理事前申報。其</w:t>
      </w:r>
      <w:r w:rsidRPr="00C35C64">
        <w:rPr>
          <w:rFonts w:ascii="標楷體" w:eastAsia="標楷體" w:hAnsi="標楷體"/>
          <w:color w:val="000000"/>
          <w:spacing w:val="20"/>
          <w:szCs w:val="24"/>
        </w:rPr>
        <w:t>10,000</w:t>
      </w:r>
      <w:r w:rsidRPr="00C35C64">
        <w:rPr>
          <w:rFonts w:ascii="標楷體" w:eastAsia="標楷體" w:hAnsi="標楷體" w:hint="eastAsia"/>
          <w:color w:val="000000"/>
          <w:spacing w:val="20"/>
          <w:szCs w:val="24"/>
        </w:rPr>
        <w:t>股，為內部人及其配偶、未成年子女及利用他人名義持有者合併計算之</w:t>
      </w:r>
    </w:p>
    <w:p w:rsidR="00C35C64" w:rsidRPr="00C35C64" w:rsidRDefault="00C35C64" w:rsidP="00C35C64">
      <w:pPr>
        <w:spacing w:afterLines="50" w:after="120"/>
        <w:ind w:left="1271" w:hangingChars="454" w:hanging="127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 xml:space="preserve">第十一條 </w:t>
      </w:r>
      <w:r w:rsidRPr="00C35C64">
        <w:rPr>
          <w:rFonts w:ascii="標楷體" w:eastAsia="標楷體" w:hAnsi="標楷體"/>
          <w:color w:val="000000"/>
          <w:spacing w:val="20"/>
          <w:szCs w:val="24"/>
        </w:rPr>
        <w:t>內部人自取得身</w:t>
      </w:r>
      <w:r w:rsidRPr="00C35C64">
        <w:rPr>
          <w:rFonts w:ascii="標楷體" w:eastAsia="標楷體" w:hAnsi="標楷體" w:hint="eastAsia"/>
          <w:color w:val="000000"/>
          <w:spacing w:val="20"/>
          <w:szCs w:val="24"/>
        </w:rPr>
        <w:t>分</w:t>
      </w:r>
      <w:r w:rsidRPr="00C35C64">
        <w:rPr>
          <w:rFonts w:ascii="標楷體" w:eastAsia="標楷體" w:hAnsi="標楷體"/>
          <w:color w:val="000000"/>
          <w:spacing w:val="20"/>
          <w:szCs w:val="24"/>
        </w:rPr>
        <w:t>之日起，公司於事實發生後2日內，</w:t>
      </w:r>
      <w:r w:rsidRPr="00C35C64">
        <w:rPr>
          <w:rFonts w:ascii="標楷體" w:eastAsia="標楷體" w:hAnsi="標楷體" w:hint="eastAsia"/>
          <w:color w:val="000000"/>
          <w:spacing w:val="20"/>
          <w:szCs w:val="24"/>
        </w:rPr>
        <w:t>應 配合財務部</w:t>
      </w:r>
      <w:r w:rsidRPr="00C35C64">
        <w:rPr>
          <w:rFonts w:ascii="標楷體" w:eastAsia="標楷體" w:hAnsi="標楷體"/>
          <w:color w:val="000000"/>
          <w:spacing w:val="20"/>
          <w:szCs w:val="24"/>
        </w:rPr>
        <w:t>辦理「內部人新（解）任即時申報系統」資訊申報作業。</w:t>
      </w:r>
      <w:r w:rsidRPr="00C35C64">
        <w:rPr>
          <w:rFonts w:ascii="標楷體" w:eastAsia="標楷體" w:hAnsi="標楷體" w:hint="eastAsia"/>
          <w:color w:val="000000"/>
          <w:spacing w:val="20"/>
          <w:szCs w:val="24"/>
        </w:rPr>
        <w:t xml:space="preserve"> </w:t>
      </w:r>
    </w:p>
    <w:p w:rsidR="00C35C64" w:rsidRPr="00C35C64" w:rsidRDefault="00C35C64" w:rsidP="00C35C64">
      <w:pPr>
        <w:pStyle w:val="a6"/>
        <w:ind w:leftChars="532" w:left="1333" w:hangingChars="20" w:hanging="56"/>
      </w:pPr>
      <w:r w:rsidRPr="00C35C64">
        <w:t>董事、監察人及經理人應於就任之日起5日內簽署已知悉相關法令之聲明書並留存公司備查。</w:t>
      </w:r>
    </w:p>
    <w:p w:rsidR="00C35C64" w:rsidRPr="00C35C64" w:rsidRDefault="00C35C64" w:rsidP="00C35C64">
      <w:pPr>
        <w:spacing w:before="240" w:afterLines="50" w:after="120"/>
        <w:ind w:left="1271" w:hangingChars="454" w:hanging="1271"/>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第十二條 內部人</w:t>
      </w:r>
      <w:r w:rsidRPr="00C35C64">
        <w:rPr>
          <w:rFonts w:ascii="標楷體" w:eastAsia="標楷體" w:hAnsi="標楷體"/>
          <w:color w:val="000000"/>
          <w:spacing w:val="20"/>
          <w:szCs w:val="24"/>
        </w:rPr>
        <w:t>應於每月</w:t>
      </w:r>
      <w:r w:rsidRPr="00C35C64">
        <w:rPr>
          <w:rFonts w:ascii="標楷體" w:eastAsia="標楷體" w:hAnsi="標楷體" w:hint="eastAsia"/>
          <w:color w:val="000000"/>
          <w:spacing w:val="20"/>
          <w:szCs w:val="24"/>
        </w:rPr>
        <w:t>5</w:t>
      </w:r>
      <w:r w:rsidRPr="00C35C64">
        <w:rPr>
          <w:rFonts w:ascii="標楷體" w:eastAsia="標楷體" w:hAnsi="標楷體"/>
          <w:color w:val="000000"/>
          <w:spacing w:val="20"/>
          <w:szCs w:val="24"/>
        </w:rPr>
        <w:t>日以前</w:t>
      </w:r>
      <w:r w:rsidRPr="00C35C64">
        <w:rPr>
          <w:rFonts w:ascii="標楷體" w:eastAsia="標楷體" w:hAnsi="標楷體" w:hint="eastAsia"/>
          <w:color w:val="000000"/>
          <w:spacing w:val="20"/>
          <w:szCs w:val="24"/>
        </w:rPr>
        <w:t>，將其及</w:t>
      </w:r>
      <w:r w:rsidRPr="00C35C64">
        <w:rPr>
          <w:rFonts w:ascii="標楷體" w:eastAsia="標楷體" w:hAnsi="標楷體"/>
          <w:color w:val="000000"/>
          <w:spacing w:val="20"/>
          <w:szCs w:val="24"/>
        </w:rPr>
        <w:t>配偶、未成年子女及利</w:t>
      </w:r>
      <w:r w:rsidRPr="00C35C64">
        <w:rPr>
          <w:rFonts w:ascii="標楷體" w:eastAsia="標楷體" w:hAnsi="標楷體" w:hint="eastAsia"/>
          <w:color w:val="000000"/>
          <w:spacing w:val="20"/>
          <w:szCs w:val="24"/>
        </w:rPr>
        <w:t xml:space="preserve">  </w:t>
      </w:r>
      <w:r w:rsidRPr="00C35C64">
        <w:rPr>
          <w:rFonts w:ascii="標楷體" w:eastAsia="標楷體" w:hAnsi="標楷體"/>
          <w:color w:val="000000"/>
          <w:spacing w:val="20"/>
          <w:szCs w:val="24"/>
        </w:rPr>
        <w:t>用他人名義持有者</w:t>
      </w:r>
      <w:r w:rsidRPr="00C35C64">
        <w:rPr>
          <w:rFonts w:ascii="標楷體" w:eastAsia="標楷體" w:hAnsi="標楷體" w:hint="eastAsia"/>
          <w:color w:val="000000"/>
          <w:spacing w:val="20"/>
          <w:szCs w:val="24"/>
        </w:rPr>
        <w:t>之</w:t>
      </w:r>
      <w:r w:rsidRPr="00C35C64">
        <w:rPr>
          <w:rFonts w:ascii="標楷體" w:eastAsia="標楷體" w:hAnsi="標楷體"/>
          <w:color w:val="000000"/>
          <w:spacing w:val="20"/>
          <w:szCs w:val="24"/>
        </w:rPr>
        <w:t>上月份持有股數變動之情形</w:t>
      </w:r>
      <w:r w:rsidRPr="00C35C64">
        <w:rPr>
          <w:rFonts w:ascii="標楷體" w:eastAsia="標楷體" w:hAnsi="標楷體" w:hint="eastAsia"/>
          <w:color w:val="000000"/>
          <w:spacing w:val="20"/>
          <w:szCs w:val="24"/>
        </w:rPr>
        <w:t>，</w:t>
      </w:r>
      <w:r w:rsidRPr="00C35C64">
        <w:rPr>
          <w:rFonts w:ascii="標楷體" w:eastAsia="標楷體" w:hAnsi="標楷體"/>
          <w:color w:val="000000"/>
          <w:spacing w:val="20"/>
          <w:szCs w:val="24"/>
        </w:rPr>
        <w:t>向</w:t>
      </w:r>
      <w:r w:rsidRPr="00C35C64">
        <w:rPr>
          <w:rFonts w:ascii="標楷體" w:eastAsia="標楷體" w:hAnsi="標楷體" w:hint="eastAsia"/>
          <w:color w:val="000000"/>
          <w:spacing w:val="20"/>
          <w:szCs w:val="24"/>
        </w:rPr>
        <w:t>本</w:t>
      </w:r>
      <w:r w:rsidRPr="00C35C64">
        <w:rPr>
          <w:rFonts w:ascii="標楷體" w:eastAsia="標楷體" w:hAnsi="標楷體"/>
          <w:color w:val="000000"/>
          <w:spacing w:val="20"/>
          <w:szCs w:val="24"/>
        </w:rPr>
        <w:t>公司</w:t>
      </w:r>
      <w:r w:rsidRPr="00C35C64">
        <w:rPr>
          <w:rFonts w:ascii="標楷體" w:eastAsia="標楷體" w:hAnsi="標楷體" w:hint="eastAsia"/>
          <w:color w:val="000000"/>
          <w:spacing w:val="20"/>
          <w:szCs w:val="24"/>
        </w:rPr>
        <w:t>財務部</w:t>
      </w:r>
      <w:r w:rsidRPr="00C35C64">
        <w:rPr>
          <w:rFonts w:ascii="標楷體" w:eastAsia="標楷體" w:hAnsi="標楷體"/>
          <w:color w:val="000000"/>
          <w:spacing w:val="20"/>
          <w:szCs w:val="24"/>
        </w:rPr>
        <w:t>申報，</w:t>
      </w:r>
      <w:r w:rsidRPr="00C35C64">
        <w:rPr>
          <w:rFonts w:ascii="標楷體" w:eastAsia="標楷體" w:hAnsi="標楷體" w:hint="eastAsia"/>
          <w:color w:val="000000"/>
          <w:spacing w:val="20"/>
          <w:szCs w:val="24"/>
        </w:rPr>
        <w:t>以利財務部</w:t>
      </w:r>
      <w:r w:rsidRPr="00C35C64">
        <w:rPr>
          <w:rFonts w:ascii="標楷體" w:eastAsia="標楷體" w:hAnsi="標楷體"/>
          <w:color w:val="000000"/>
          <w:spacing w:val="20"/>
          <w:szCs w:val="24"/>
        </w:rPr>
        <w:t>於每月</w:t>
      </w:r>
      <w:r w:rsidRPr="00C35C64">
        <w:rPr>
          <w:rFonts w:ascii="標楷體" w:eastAsia="標楷體" w:hAnsi="標楷體" w:hint="eastAsia"/>
          <w:color w:val="000000"/>
          <w:spacing w:val="20"/>
          <w:szCs w:val="24"/>
        </w:rPr>
        <w:t>1</w:t>
      </w:r>
      <w:r w:rsidRPr="00C35C64">
        <w:rPr>
          <w:rFonts w:ascii="標楷體" w:eastAsia="標楷體" w:hAnsi="標楷體"/>
          <w:color w:val="000000"/>
          <w:spacing w:val="20"/>
          <w:szCs w:val="24"/>
        </w:rPr>
        <w:t>5日以前，彙總向主管機關申報</w:t>
      </w:r>
      <w:r w:rsidRPr="00C35C64">
        <w:rPr>
          <w:rFonts w:ascii="標楷體" w:eastAsia="標楷體" w:hAnsi="標楷體" w:hint="eastAsia"/>
          <w:color w:val="000000"/>
          <w:spacing w:val="20"/>
          <w:szCs w:val="24"/>
        </w:rPr>
        <w:t>。</w:t>
      </w:r>
      <w:r w:rsidRPr="00C35C64">
        <w:rPr>
          <w:rFonts w:ascii="標楷體" w:eastAsia="標楷體" w:hAnsi="標楷體"/>
          <w:color w:val="000000"/>
          <w:spacing w:val="20"/>
          <w:szCs w:val="24"/>
        </w:rPr>
        <w:t>內部人在月中解任</w:t>
      </w:r>
      <w:r w:rsidRPr="00C35C64">
        <w:rPr>
          <w:rFonts w:ascii="標楷體" w:eastAsia="標楷體" w:hAnsi="標楷體" w:hint="eastAsia"/>
          <w:color w:val="000000"/>
          <w:spacing w:val="20"/>
          <w:szCs w:val="24"/>
        </w:rPr>
        <w:t>者</w:t>
      </w:r>
      <w:r w:rsidRPr="00C35C64">
        <w:rPr>
          <w:rFonts w:ascii="標楷體" w:eastAsia="標楷體" w:hAnsi="標楷體"/>
          <w:color w:val="000000"/>
          <w:spacing w:val="20"/>
          <w:szCs w:val="24"/>
        </w:rPr>
        <w:t>，次月</w:t>
      </w:r>
      <w:r w:rsidRPr="00C35C64">
        <w:rPr>
          <w:rFonts w:ascii="標楷體" w:eastAsia="標楷體" w:hAnsi="標楷體" w:hint="eastAsia"/>
          <w:color w:val="000000"/>
          <w:spacing w:val="20"/>
          <w:szCs w:val="24"/>
        </w:rPr>
        <w:t>5</w:t>
      </w:r>
      <w:r w:rsidRPr="00C35C64">
        <w:rPr>
          <w:rFonts w:ascii="標楷體" w:eastAsia="標楷體" w:hAnsi="標楷體"/>
          <w:color w:val="000000"/>
          <w:spacing w:val="20"/>
          <w:szCs w:val="24"/>
        </w:rPr>
        <w:t>日前仍</w:t>
      </w:r>
      <w:r w:rsidRPr="00C35C64">
        <w:rPr>
          <w:rFonts w:ascii="標楷體" w:eastAsia="標楷體" w:hAnsi="標楷體" w:hint="eastAsia"/>
          <w:color w:val="000000"/>
          <w:spacing w:val="20"/>
          <w:szCs w:val="24"/>
        </w:rPr>
        <w:t>應向財務部</w:t>
      </w:r>
      <w:r w:rsidRPr="00C35C64">
        <w:rPr>
          <w:rFonts w:ascii="標楷體" w:eastAsia="標楷體" w:hAnsi="標楷體"/>
          <w:color w:val="000000"/>
          <w:spacing w:val="20"/>
          <w:szCs w:val="24"/>
        </w:rPr>
        <w:t>申報其上月份解任日前之持股異動情形。</w:t>
      </w:r>
    </w:p>
    <w:p w:rsidR="00C35C64" w:rsidRPr="00C35C64" w:rsidRDefault="00C35C64" w:rsidP="00C35C64">
      <w:pPr>
        <w:pStyle w:val="a5"/>
        <w:spacing w:afterLines="50" w:after="120"/>
        <w:ind w:leftChars="527" w:left="1265"/>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內部人持有本公司之</w:t>
      </w:r>
      <w:r w:rsidRPr="00C35C64">
        <w:rPr>
          <w:rFonts w:ascii="標楷體" w:eastAsia="標楷體" w:hAnsi="標楷體"/>
          <w:color w:val="000000"/>
          <w:spacing w:val="20"/>
          <w:szCs w:val="24"/>
        </w:rPr>
        <w:t>股票經設定質權者，應</w:t>
      </w:r>
      <w:r w:rsidRPr="00C35C64">
        <w:rPr>
          <w:rFonts w:ascii="標楷體" w:eastAsia="標楷體" w:hAnsi="標楷體" w:hint="eastAsia"/>
          <w:color w:val="000000"/>
          <w:spacing w:val="20"/>
          <w:szCs w:val="24"/>
        </w:rPr>
        <w:t>立</w:t>
      </w:r>
      <w:r w:rsidRPr="00C35C64">
        <w:rPr>
          <w:rFonts w:ascii="標楷體" w:eastAsia="標楷體" w:hAnsi="標楷體"/>
          <w:color w:val="000000"/>
          <w:spacing w:val="20"/>
          <w:szCs w:val="24"/>
        </w:rPr>
        <w:t>即通知</w:t>
      </w:r>
      <w:r w:rsidRPr="00C35C64">
        <w:rPr>
          <w:rFonts w:ascii="標楷體" w:eastAsia="標楷體" w:hAnsi="標楷體" w:hint="eastAsia"/>
          <w:color w:val="000000"/>
          <w:spacing w:val="20"/>
          <w:szCs w:val="24"/>
        </w:rPr>
        <w:t>本</w:t>
      </w:r>
      <w:r w:rsidRPr="00C35C64">
        <w:rPr>
          <w:rFonts w:ascii="標楷體" w:eastAsia="標楷體" w:hAnsi="標楷體"/>
          <w:color w:val="000000"/>
          <w:spacing w:val="20"/>
          <w:szCs w:val="24"/>
        </w:rPr>
        <w:t>公司</w:t>
      </w:r>
      <w:r w:rsidRPr="00C35C64">
        <w:rPr>
          <w:rFonts w:ascii="標楷體" w:eastAsia="標楷體" w:hAnsi="標楷體" w:hint="eastAsia"/>
          <w:color w:val="000000"/>
          <w:spacing w:val="20"/>
          <w:szCs w:val="24"/>
        </w:rPr>
        <w:t>，以利本</w:t>
      </w:r>
      <w:r w:rsidRPr="00C35C64">
        <w:rPr>
          <w:rFonts w:ascii="標楷體" w:eastAsia="標楷體" w:hAnsi="標楷體"/>
          <w:color w:val="000000"/>
          <w:spacing w:val="20"/>
          <w:szCs w:val="24"/>
        </w:rPr>
        <w:t>公司於其質權設定後</w:t>
      </w:r>
      <w:r w:rsidRPr="00C35C64">
        <w:rPr>
          <w:rFonts w:ascii="標楷體" w:eastAsia="標楷體" w:hAnsi="標楷體" w:hint="eastAsia"/>
          <w:color w:val="000000"/>
          <w:spacing w:val="20"/>
          <w:szCs w:val="24"/>
        </w:rPr>
        <w:t>5</w:t>
      </w:r>
      <w:r w:rsidRPr="00C35C64">
        <w:rPr>
          <w:rFonts w:ascii="標楷體" w:eastAsia="標楷體" w:hAnsi="標楷體"/>
          <w:color w:val="000000"/>
          <w:spacing w:val="20"/>
          <w:szCs w:val="24"/>
        </w:rPr>
        <w:t>日內，將其出質情形，向主管機關申報並公告之。</w:t>
      </w:r>
    </w:p>
    <w:p w:rsidR="00C35C64" w:rsidRPr="00C35C64" w:rsidRDefault="00C35C64" w:rsidP="00C35C64">
      <w:pPr>
        <w:pStyle w:val="a5"/>
        <w:spacing w:afterLines="50" w:after="120"/>
        <w:ind w:leftChars="531" w:left="1274" w:firstLine="2"/>
        <w:jc w:val="both"/>
        <w:rPr>
          <w:rFonts w:ascii="標楷體" w:eastAsia="標楷體" w:hAnsi="標楷體"/>
          <w:color w:val="000000"/>
          <w:spacing w:val="20"/>
          <w:szCs w:val="24"/>
        </w:rPr>
      </w:pPr>
      <w:r w:rsidRPr="00C35C64">
        <w:rPr>
          <w:rFonts w:ascii="標楷體" w:eastAsia="標楷體" w:hAnsi="標楷體"/>
          <w:color w:val="000000"/>
          <w:spacing w:val="20"/>
          <w:szCs w:val="24"/>
        </w:rPr>
        <w:t>內部人留職停薪</w:t>
      </w:r>
      <w:r w:rsidRPr="00C35C64">
        <w:rPr>
          <w:rFonts w:ascii="標楷體" w:eastAsia="標楷體" w:hAnsi="標楷體" w:hint="eastAsia"/>
          <w:color w:val="000000"/>
          <w:spacing w:val="20"/>
          <w:szCs w:val="24"/>
        </w:rPr>
        <w:t>者</w:t>
      </w:r>
      <w:r w:rsidRPr="00C35C64">
        <w:rPr>
          <w:rFonts w:ascii="標楷體" w:eastAsia="標楷體" w:hAnsi="標楷體"/>
          <w:color w:val="000000"/>
          <w:spacing w:val="20"/>
          <w:szCs w:val="24"/>
        </w:rPr>
        <w:t>，因未解除其職務，內部人身分並未喪失，仍</w:t>
      </w:r>
      <w:r w:rsidRPr="00C35C64">
        <w:rPr>
          <w:rFonts w:ascii="標楷體" w:eastAsia="標楷體" w:hAnsi="標楷體" w:hint="eastAsia"/>
          <w:color w:val="000000"/>
          <w:spacing w:val="20"/>
          <w:szCs w:val="24"/>
        </w:rPr>
        <w:t>需依</w:t>
      </w:r>
      <w:r w:rsidRPr="00C35C64">
        <w:rPr>
          <w:rFonts w:ascii="標楷體" w:eastAsia="標楷體" w:hAnsi="標楷體"/>
          <w:color w:val="000000"/>
          <w:spacing w:val="20"/>
          <w:szCs w:val="24"/>
        </w:rPr>
        <w:t>證券交易法股權異動相關規範。</w:t>
      </w:r>
    </w:p>
    <w:p w:rsidR="00C35C64" w:rsidRPr="00C35C64" w:rsidRDefault="00C35C64" w:rsidP="00C35C64">
      <w:pPr>
        <w:spacing w:afterLines="50" w:after="120"/>
        <w:ind w:left="1274" w:hangingChars="455" w:hanging="1274"/>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第十三條 參與員工持股信託計畫之內部人，於申請退出該計畫時，依法令規定</w:t>
      </w:r>
      <w:r w:rsidRPr="00C35C64">
        <w:rPr>
          <w:rFonts w:ascii="標楷體" w:eastAsia="標楷體" w:hAnsi="標楷體"/>
          <w:color w:val="000000"/>
          <w:spacing w:val="20"/>
          <w:szCs w:val="24"/>
        </w:rPr>
        <w:t>不得逕自員工持股信託專戶領取現金</w:t>
      </w:r>
      <w:r w:rsidRPr="00C35C64">
        <w:rPr>
          <w:rFonts w:ascii="標楷體" w:eastAsia="標楷體" w:hAnsi="標楷體" w:hint="eastAsia"/>
          <w:color w:val="000000"/>
          <w:spacing w:val="20"/>
          <w:szCs w:val="24"/>
        </w:rPr>
        <w:t>，而僅得</w:t>
      </w:r>
      <w:r w:rsidRPr="00C35C64">
        <w:rPr>
          <w:rFonts w:ascii="標楷體" w:eastAsia="標楷體" w:hAnsi="標楷體"/>
          <w:color w:val="000000"/>
          <w:spacing w:val="20"/>
          <w:szCs w:val="24"/>
        </w:rPr>
        <w:t>領回股票，</w:t>
      </w:r>
      <w:r w:rsidRPr="00C35C64">
        <w:rPr>
          <w:rFonts w:ascii="標楷體" w:eastAsia="標楷體" w:hAnsi="標楷體" w:hint="eastAsia"/>
          <w:color w:val="000000"/>
          <w:spacing w:val="20"/>
          <w:szCs w:val="24"/>
        </w:rPr>
        <w:t>並且</w:t>
      </w:r>
      <w:r w:rsidRPr="00C35C64">
        <w:rPr>
          <w:rFonts w:ascii="標楷體" w:eastAsia="標楷體" w:hAnsi="標楷體"/>
          <w:color w:val="000000"/>
          <w:spacing w:val="20"/>
          <w:szCs w:val="24"/>
        </w:rPr>
        <w:t>應依證券交易法第25條規定</w:t>
      </w:r>
      <w:r w:rsidRPr="00C35C64">
        <w:rPr>
          <w:rFonts w:ascii="標楷體" w:eastAsia="標楷體" w:hAnsi="標楷體" w:hint="eastAsia"/>
          <w:color w:val="000000"/>
          <w:spacing w:val="20"/>
          <w:szCs w:val="24"/>
        </w:rPr>
        <w:t>，</w:t>
      </w:r>
      <w:r w:rsidRPr="00C35C64">
        <w:rPr>
          <w:rFonts w:ascii="標楷體" w:eastAsia="標楷體" w:hAnsi="標楷體"/>
          <w:color w:val="000000"/>
          <w:spacing w:val="20"/>
          <w:szCs w:val="24"/>
        </w:rPr>
        <w:t>辦理內部人股權異動公告申報。</w:t>
      </w:r>
    </w:p>
    <w:p w:rsidR="00C35C64" w:rsidRPr="00C35C64" w:rsidRDefault="00C35C64" w:rsidP="00C35C64">
      <w:pPr>
        <w:spacing w:afterLines="50" w:after="120"/>
        <w:ind w:left="1274" w:hangingChars="455" w:hanging="1274"/>
        <w:jc w:val="both"/>
        <w:rPr>
          <w:rFonts w:ascii="標楷體" w:eastAsia="標楷體" w:hAnsi="標楷體"/>
          <w:color w:val="000000"/>
          <w:spacing w:val="20"/>
          <w:szCs w:val="24"/>
        </w:rPr>
      </w:pPr>
      <w:r w:rsidRPr="00C35C64">
        <w:rPr>
          <w:rFonts w:ascii="標楷體" w:eastAsia="標楷體" w:hAnsi="標楷體" w:hint="eastAsia"/>
          <w:color w:val="000000"/>
          <w:spacing w:val="20"/>
          <w:szCs w:val="24"/>
        </w:rPr>
        <w:t>第十四條 本公司內部人以及配偶、未成年子女因故未遵守內部人股權異動相關規定而遭主管機關處罰者，人資部應將違反情事公告於公司內網周知。本公司內部人如為經理人者，應視情節輕重，依「信義房屋員工獎懲辦法」規定，予以至少警告乙次之處罰。</w:t>
      </w:r>
    </w:p>
    <w:p w:rsidR="00C35C64" w:rsidRPr="00874F84" w:rsidRDefault="00C35C64" w:rsidP="00C35C64">
      <w:pPr>
        <w:spacing w:afterLines="50" w:after="120"/>
        <w:ind w:left="1274" w:hangingChars="455" w:hanging="1274"/>
        <w:jc w:val="both"/>
        <w:rPr>
          <w:rFonts w:ascii="標楷體" w:eastAsia="標楷體" w:hAnsi="標楷體"/>
          <w:color w:val="000000"/>
          <w:spacing w:val="20"/>
          <w:szCs w:val="24"/>
        </w:rPr>
      </w:pPr>
      <w:r w:rsidRPr="00874F84">
        <w:rPr>
          <w:rFonts w:ascii="標楷體" w:eastAsia="標楷體" w:hAnsi="標楷體" w:hint="eastAsia"/>
          <w:color w:val="000000"/>
          <w:spacing w:val="20"/>
          <w:szCs w:val="24"/>
        </w:rPr>
        <w:t>第十</w:t>
      </w:r>
      <w:r>
        <w:rPr>
          <w:rFonts w:ascii="標楷體" w:eastAsia="標楷體" w:hAnsi="標楷體" w:hint="eastAsia"/>
          <w:color w:val="000000"/>
          <w:spacing w:val="20"/>
          <w:szCs w:val="24"/>
        </w:rPr>
        <w:t>五</w:t>
      </w:r>
      <w:r w:rsidRPr="00874F84">
        <w:rPr>
          <w:rFonts w:ascii="標楷體" w:eastAsia="標楷體" w:hAnsi="標楷體" w:hint="eastAsia"/>
          <w:color w:val="000000"/>
          <w:spacing w:val="20"/>
          <w:szCs w:val="24"/>
        </w:rPr>
        <w:t>條 本辦法經董事會通過後實施，修正時亦同。</w:t>
      </w:r>
    </w:p>
    <w:p w:rsidR="00EF07BA" w:rsidRPr="00C35C64" w:rsidRDefault="00EF07BA" w:rsidP="00C35C64"/>
    <w:sectPr w:rsidR="00EF07BA" w:rsidRPr="00C35C64" w:rsidSect="00C35C64">
      <w:headerReference w:type="default" r:id="rId8"/>
      <w:footerReference w:type="default" r:id="rId9"/>
      <w:pgSz w:w="11906" w:h="16838"/>
      <w:pgMar w:top="851" w:right="851" w:bottom="851" w:left="1418" w:header="850"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005" w:rsidRDefault="00041005">
      <w:pPr>
        <w:spacing w:line="240" w:lineRule="auto"/>
      </w:pPr>
      <w:r>
        <w:separator/>
      </w:r>
    </w:p>
  </w:endnote>
  <w:endnote w:type="continuationSeparator" w:id="0">
    <w:p w:rsidR="00041005" w:rsidRDefault="00041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33E" w:rsidRDefault="00FE333E">
    <w:pPr>
      <w:pStyle w:val="a4"/>
    </w:pPr>
    <w:r>
      <w:t xml:space="preserve">                                      </w:t>
    </w:r>
    <w:r>
      <w:rPr>
        <w:rFonts w:hint="eastAsia"/>
      </w:rPr>
      <w:t>【</w:t>
    </w:r>
    <w:r w:rsidR="00041005">
      <w:rPr>
        <w:noProof/>
      </w:rPr>
      <w:fldChar w:fldCharType="begin"/>
    </w:r>
    <w:r w:rsidR="00041005">
      <w:rPr>
        <w:noProof/>
      </w:rPr>
      <w:instrText xml:space="preserve"> NUMPAGES  \* MERGEFORMAT </w:instrText>
    </w:r>
    <w:r w:rsidR="00041005">
      <w:rPr>
        <w:noProof/>
      </w:rPr>
      <w:fldChar w:fldCharType="separate"/>
    </w:r>
    <w:r w:rsidR="00C35C64">
      <w:rPr>
        <w:noProof/>
      </w:rPr>
      <w:t>2</w:t>
    </w:r>
    <w:r w:rsidR="00041005">
      <w:rPr>
        <w:noProof/>
      </w:rPr>
      <w:fldChar w:fldCharType="end"/>
    </w:r>
    <w:r>
      <w:rPr>
        <w:rFonts w:hint="eastAsia"/>
      </w:rPr>
      <w:t>─</w:t>
    </w:r>
    <w:r>
      <w:fldChar w:fldCharType="begin"/>
    </w:r>
    <w:r>
      <w:instrText xml:space="preserve"> PAGE  \* MERGEFORMAT </w:instrText>
    </w:r>
    <w:r>
      <w:fldChar w:fldCharType="separate"/>
    </w:r>
    <w:r w:rsidR="00C35C64">
      <w:rPr>
        <w:noProof/>
      </w:rPr>
      <w:t>1</w:t>
    </w:r>
    <w:r>
      <w:fldChar w:fldCharType="end"/>
    </w:r>
    <w:r>
      <w:rPr>
        <w:rFonts w:hint="eastAsia"/>
      </w:rPr>
      <w:t>】</w:t>
    </w:r>
    <w:r>
      <w:t xml:space="preserve">                </w:t>
    </w:r>
    <w:bookmarkStart w:id="6" w:name="d0107"/>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005" w:rsidRDefault="00041005">
      <w:pPr>
        <w:spacing w:line="240" w:lineRule="auto"/>
      </w:pPr>
      <w:r>
        <w:separator/>
      </w:r>
    </w:p>
  </w:footnote>
  <w:footnote w:type="continuationSeparator" w:id="0">
    <w:p w:rsidR="00041005" w:rsidRDefault="000410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81" w:type="dxa"/>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386"/>
      <w:gridCol w:w="1134"/>
      <w:gridCol w:w="1061"/>
      <w:gridCol w:w="1349"/>
      <w:gridCol w:w="1051"/>
    </w:tblGrid>
    <w:tr w:rsidR="00FE333E" w:rsidTr="00C35C64">
      <w:trPr>
        <w:trHeight w:val="567"/>
      </w:trPr>
      <w:tc>
        <w:tcPr>
          <w:tcW w:w="5386" w:type="dxa"/>
          <w:tcBorders>
            <w:bottom w:val="nil"/>
          </w:tcBorders>
        </w:tcPr>
        <w:p w:rsidR="00FE333E" w:rsidRDefault="00FE333E">
          <w:pPr>
            <w:pStyle w:val="a3"/>
            <w:spacing w:before="40" w:after="40"/>
            <w:ind w:left="284" w:right="284"/>
            <w:jc w:val="distribute"/>
            <w:rPr>
              <w:rFonts w:ascii="新細明體"/>
              <w:b/>
              <w:sz w:val="24"/>
            </w:rPr>
          </w:pPr>
          <w:r>
            <w:rPr>
              <w:rFonts w:ascii="新細明體" w:hint="eastAsia"/>
              <w:b/>
              <w:sz w:val="24"/>
            </w:rPr>
            <w:t>文件標題</w:t>
          </w:r>
        </w:p>
      </w:tc>
      <w:tc>
        <w:tcPr>
          <w:tcW w:w="1134" w:type="dxa"/>
          <w:tcBorders>
            <w:bottom w:val="nil"/>
          </w:tcBorders>
        </w:tcPr>
        <w:p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061" w:type="dxa"/>
          <w:tcBorders>
            <w:bottom w:val="nil"/>
          </w:tcBorders>
        </w:tcPr>
        <w:p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49" w:type="dxa"/>
          <w:tcBorders>
            <w:bottom w:val="nil"/>
          </w:tcBorders>
        </w:tcPr>
        <w:p w:rsidR="00FE333E" w:rsidRDefault="00FE333E">
          <w:pPr>
            <w:pStyle w:val="a3"/>
            <w:spacing w:before="40" w:after="40"/>
            <w:ind w:right="284"/>
            <w:jc w:val="center"/>
            <w:rPr>
              <w:rFonts w:ascii="新細明體"/>
              <w:sz w:val="24"/>
            </w:rPr>
          </w:pPr>
          <w:r>
            <w:rPr>
              <w:rFonts w:ascii="新細明體" w:hint="eastAsia"/>
              <w:b/>
              <w:sz w:val="24"/>
            </w:rPr>
            <w:t>權責單位</w:t>
          </w:r>
        </w:p>
      </w:tc>
      <w:tc>
        <w:tcPr>
          <w:tcW w:w="1051" w:type="dxa"/>
          <w:tcBorders>
            <w:bottom w:val="nil"/>
          </w:tcBorders>
        </w:tcPr>
        <w:p w:rsidR="00FE333E" w:rsidRDefault="00FE333E">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FE333E" w:rsidTr="00C35C64">
      <w:trPr>
        <w:trHeight w:val="567"/>
      </w:trPr>
      <w:tc>
        <w:tcPr>
          <w:tcW w:w="5386" w:type="dxa"/>
          <w:tcBorders>
            <w:bottom w:val="nil"/>
          </w:tcBorders>
        </w:tcPr>
        <w:p w:rsidR="00FE333E" w:rsidRPr="00C35C64" w:rsidRDefault="00C35C64" w:rsidP="00C35C64">
          <w:pPr>
            <w:pStyle w:val="a3"/>
            <w:spacing w:before="40" w:after="40"/>
            <w:ind w:left="284" w:right="284"/>
            <w:rPr>
              <w:rFonts w:ascii="新細明體"/>
              <w:b/>
              <w:sz w:val="16"/>
              <w:szCs w:val="16"/>
            </w:rPr>
          </w:pPr>
          <w:bookmarkStart w:id="1" w:name="d0104"/>
          <w:bookmarkEnd w:id="1"/>
          <w:r w:rsidRPr="00C35C64">
            <w:rPr>
              <w:rFonts w:ascii="新細明體" w:hint="eastAsia"/>
              <w:b/>
              <w:szCs w:val="16"/>
            </w:rPr>
            <w:t>信義房屋股份有限公司防範內部人持股變動違規辦法</w:t>
          </w:r>
          <w:r w:rsidR="00814349" w:rsidRPr="00C35C64">
            <w:rPr>
              <w:rFonts w:ascii="細明體" w:eastAsia="細明體"/>
              <w:b/>
              <w:noProof/>
              <w:sz w:val="16"/>
              <w:szCs w:val="16"/>
            </w:rPr>
            <mc:AlternateContent>
              <mc:Choice Requires="wps">
                <w:drawing>
                  <wp:anchor distT="0" distB="0" distL="114300" distR="114300" simplePos="0" relativeHeight="251658240" behindDoc="0" locked="0" layoutInCell="0" allowOverlap="1">
                    <wp:simplePos x="0" y="0"/>
                    <wp:positionH relativeFrom="column">
                      <wp:posOffset>-76200</wp:posOffset>
                    </wp:positionH>
                    <wp:positionV relativeFrom="paragraph">
                      <wp:posOffset>280670</wp:posOffset>
                    </wp:positionV>
                    <wp:extent cx="6324600" cy="8357235"/>
                    <wp:effectExtent l="9525" t="13970" r="9525"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357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E333E" w:rsidRPr="00C35C64" w:rsidRDefault="00FE333E" w:rsidP="00FE333E">
                                <w:pPr>
                                  <w:rPr>
                                    <w:rFonts w:hint="eastAsia"/>
                                    <w:sz w:val="22"/>
                                    <w:szCs w:val="22"/>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6pt;margin-top:22.1pt;width:498pt;height:65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" o:allowincell="f" filled="f">
                    <v:textbox inset="1pt,1pt,1pt,1pt">
                      <w:txbxContent>
                        <w:p w:rsidR="00FE333E" w:rsidRPr="00C35C64" w:rsidRDefault="00FE333E" w:rsidP="00FE333E">
                          <w:pPr>
                            <w:rPr>
                              <w:rFonts w:hint="eastAsia"/>
                              <w:sz w:val="22"/>
                              <w:szCs w:val="22"/>
                            </w:rPr>
                          </w:pPr>
                        </w:p>
                      </w:txbxContent>
                    </v:textbox>
                  </v:rect>
                </w:pict>
              </mc:Fallback>
            </mc:AlternateContent>
          </w:r>
        </w:p>
      </w:tc>
      <w:tc>
        <w:tcPr>
          <w:tcW w:w="1134" w:type="dxa"/>
          <w:tcBorders>
            <w:bottom w:val="nil"/>
          </w:tcBorders>
        </w:tcPr>
        <w:p w:rsidR="00FE333E" w:rsidRDefault="00FE333E">
          <w:pPr>
            <w:pStyle w:val="a3"/>
            <w:spacing w:before="40" w:after="40"/>
            <w:jc w:val="center"/>
            <w:rPr>
              <w:rFonts w:ascii="新細明體"/>
              <w:b/>
            </w:rPr>
          </w:pPr>
          <w:bookmarkStart w:id="2" w:name="d0101"/>
          <w:bookmarkEnd w:id="2"/>
          <w:r>
            <w:rPr>
              <w:rFonts w:ascii="新細明體" w:hint="eastAsia"/>
              <w:b/>
            </w:rPr>
            <w:t>a-公文規章</w:t>
          </w:r>
        </w:p>
      </w:tc>
      <w:tc>
        <w:tcPr>
          <w:tcW w:w="1061" w:type="dxa"/>
          <w:tcBorders>
            <w:bottom w:val="nil"/>
          </w:tcBorders>
        </w:tcPr>
        <w:p w:rsidR="00FE333E" w:rsidRPr="00C35C64" w:rsidRDefault="00C35C64">
          <w:pPr>
            <w:pStyle w:val="a3"/>
            <w:spacing w:before="40" w:after="40"/>
            <w:jc w:val="center"/>
            <w:rPr>
              <w:rFonts w:ascii="新細明體"/>
              <w:b/>
            </w:rPr>
          </w:pPr>
          <w:bookmarkStart w:id="3" w:name="d0102"/>
          <w:bookmarkEnd w:id="3"/>
          <w:r w:rsidRPr="00C35C64">
            <w:rPr>
              <w:rFonts w:ascii="新細明體" w:hint="eastAsia"/>
              <w:b/>
            </w:rPr>
            <w:t>財務管理</w:t>
          </w:r>
        </w:p>
      </w:tc>
      <w:tc>
        <w:tcPr>
          <w:tcW w:w="1349" w:type="dxa"/>
          <w:tcBorders>
            <w:bottom w:val="nil"/>
          </w:tcBorders>
        </w:tcPr>
        <w:p w:rsidR="00FE333E" w:rsidRPr="00C35C64" w:rsidRDefault="00C35C64" w:rsidP="00C35C64">
          <w:pPr>
            <w:pStyle w:val="a3"/>
            <w:spacing w:before="40" w:after="40"/>
            <w:ind w:firstLineChars="50" w:firstLine="100"/>
            <w:jc w:val="center"/>
            <w:rPr>
              <w:rFonts w:ascii="新細明體"/>
              <w:b/>
            </w:rPr>
          </w:pPr>
          <w:bookmarkStart w:id="4" w:name="Type"/>
          <w:bookmarkEnd w:id="4"/>
          <w:r w:rsidRPr="00C35C64">
            <w:rPr>
              <w:rFonts w:ascii="新細明體" w:hint="eastAsia"/>
              <w:b/>
            </w:rPr>
            <w:t>財務部</w:t>
          </w:r>
        </w:p>
      </w:tc>
      <w:tc>
        <w:tcPr>
          <w:tcW w:w="1051" w:type="dxa"/>
          <w:tcBorders>
            <w:bottom w:val="nil"/>
          </w:tcBorders>
        </w:tcPr>
        <w:p w:rsidR="00FE333E" w:rsidRPr="00C35C64" w:rsidRDefault="00C35C64">
          <w:pPr>
            <w:pStyle w:val="a3"/>
            <w:spacing w:before="40" w:after="40"/>
            <w:jc w:val="center"/>
            <w:rPr>
              <w:rFonts w:ascii="新細明體"/>
              <w:b/>
            </w:rPr>
          </w:pPr>
          <w:bookmarkStart w:id="5" w:name="d0123"/>
          <w:bookmarkEnd w:id="5"/>
          <w:r w:rsidRPr="00C35C64">
            <w:rPr>
              <w:rFonts w:ascii="新細明體" w:hint="eastAsia"/>
              <w:b/>
            </w:rPr>
            <w:t>2021/09/24</w:t>
          </w:r>
        </w:p>
      </w:tc>
    </w:tr>
  </w:tbl>
  <w:p w:rsidR="00FE333E" w:rsidRDefault="00FE333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B03AA"/>
    <w:multiLevelType w:val="hybridMultilevel"/>
    <w:tmpl w:val="A4222AAA"/>
    <w:lvl w:ilvl="0" w:tplc="467C82C0">
      <w:start w:val="1"/>
      <w:numFmt w:val="taiwaneseCountingThousand"/>
      <w:lvlText w:val="%1、"/>
      <w:lvlJc w:val="left"/>
      <w:pPr>
        <w:ind w:left="1126" w:hanging="560"/>
      </w:pPr>
      <w:rPr>
        <w:rFonts w:ascii="細明體" w:eastAsia="標楷體" w:hAnsi="標楷體" w:cs="細明體"/>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 w15:restartNumberingAfterBreak="0">
    <w:nsid w:val="57F51005"/>
    <w:multiLevelType w:val="hybridMultilevel"/>
    <w:tmpl w:val="0D667E88"/>
    <w:lvl w:ilvl="0" w:tplc="233AE71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B"/>
    <w:rsid w:val="00041005"/>
    <w:rsid w:val="001F1B02"/>
    <w:rsid w:val="00323C0B"/>
    <w:rsid w:val="00506735"/>
    <w:rsid w:val="00585980"/>
    <w:rsid w:val="005D4260"/>
    <w:rsid w:val="00814349"/>
    <w:rsid w:val="00B61FB5"/>
    <w:rsid w:val="00BB75B2"/>
    <w:rsid w:val="00C35C64"/>
    <w:rsid w:val="00C77B00"/>
    <w:rsid w:val="00EF07BA"/>
    <w:rsid w:val="00F53338"/>
    <w:rsid w:val="00FE33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BAD867-A67E-4620-893A-B80B3160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C0B"/>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23C0B"/>
    <w:pPr>
      <w:tabs>
        <w:tab w:val="center" w:pos="4153"/>
        <w:tab w:val="right" w:pos="8306"/>
      </w:tabs>
      <w:snapToGrid w:val="0"/>
    </w:pPr>
    <w:rPr>
      <w:sz w:val="20"/>
    </w:rPr>
  </w:style>
  <w:style w:type="paragraph" w:styleId="a4">
    <w:name w:val="footer"/>
    <w:basedOn w:val="a"/>
    <w:rsid w:val="00323C0B"/>
    <w:pPr>
      <w:tabs>
        <w:tab w:val="center" w:pos="4153"/>
        <w:tab w:val="right" w:pos="8306"/>
      </w:tabs>
      <w:snapToGrid w:val="0"/>
    </w:pPr>
    <w:rPr>
      <w:sz w:val="20"/>
    </w:rPr>
  </w:style>
  <w:style w:type="paragraph" w:styleId="a5">
    <w:name w:val="List Paragraph"/>
    <w:basedOn w:val="a"/>
    <w:uiPriority w:val="34"/>
    <w:qFormat/>
    <w:rsid w:val="00C35C64"/>
    <w:pPr>
      <w:adjustRightInd/>
      <w:spacing w:line="240" w:lineRule="auto"/>
      <w:ind w:leftChars="200" w:left="480"/>
      <w:textAlignment w:val="auto"/>
    </w:pPr>
    <w:rPr>
      <w:rFonts w:asciiTheme="minorHAnsi" w:eastAsiaTheme="minorEastAsia" w:hAnsiTheme="minorHAnsi" w:cstheme="minorBidi"/>
      <w:kern w:val="2"/>
      <w:szCs w:val="22"/>
    </w:rPr>
  </w:style>
  <w:style w:type="paragraph" w:styleId="HTML">
    <w:name w:val="HTML Preformatted"/>
    <w:basedOn w:val="a"/>
    <w:link w:val="HTML0"/>
    <w:uiPriority w:val="99"/>
    <w:unhideWhenUsed/>
    <w:rsid w:val="00C35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細明體" w:eastAsia="細明體" w:hAnsi="細明體" w:cs="細明體"/>
      <w:szCs w:val="24"/>
    </w:rPr>
  </w:style>
  <w:style w:type="character" w:customStyle="1" w:styleId="HTML0">
    <w:name w:val="HTML 預設格式 字元"/>
    <w:basedOn w:val="a0"/>
    <w:link w:val="HTML"/>
    <w:uiPriority w:val="99"/>
    <w:rsid w:val="00C35C64"/>
    <w:rPr>
      <w:rFonts w:ascii="細明體" w:eastAsia="細明體" w:hAnsi="細明體" w:cs="細明體"/>
      <w:sz w:val="24"/>
      <w:szCs w:val="24"/>
    </w:rPr>
  </w:style>
  <w:style w:type="paragraph" w:styleId="a6">
    <w:name w:val="Salutation"/>
    <w:basedOn w:val="a"/>
    <w:next w:val="a"/>
    <w:link w:val="a7"/>
    <w:uiPriority w:val="99"/>
    <w:unhideWhenUsed/>
    <w:rsid w:val="00C35C64"/>
    <w:pPr>
      <w:adjustRightInd/>
      <w:spacing w:line="240" w:lineRule="auto"/>
      <w:textAlignment w:val="auto"/>
    </w:pPr>
    <w:rPr>
      <w:rFonts w:ascii="標楷體" w:eastAsia="標楷體" w:hAnsi="標楷體" w:cstheme="minorBidi"/>
      <w:color w:val="000000"/>
      <w:spacing w:val="20"/>
      <w:kern w:val="2"/>
      <w:szCs w:val="24"/>
    </w:rPr>
  </w:style>
  <w:style w:type="character" w:customStyle="1" w:styleId="a7">
    <w:name w:val="問候 字元"/>
    <w:basedOn w:val="a0"/>
    <w:link w:val="a6"/>
    <w:uiPriority w:val="99"/>
    <w:rsid w:val="00C35C64"/>
    <w:rPr>
      <w:rFonts w:ascii="標楷體" w:eastAsia="標楷體" w:hAnsi="標楷體" w:cstheme="minorBidi"/>
      <w:color w:val="000000"/>
      <w:spacing w:val="2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8DB07-3C7C-4FF2-86CC-7EB1A1EFC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218</Words>
  <Characters>1248</Characters>
  <Application>Microsoft Office Word</Application>
  <DocSecurity>0</DocSecurity>
  <Lines>10</Lines>
  <Paragraphs>2</Paragraphs>
  <ScaleCrop>false</ScaleCrop>
  <Company>Sinyi</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第一條  總則</dc:title>
  <dc:creator>S101732</dc:creator>
  <cp:lastModifiedBy>施淳雅</cp:lastModifiedBy>
  <cp:revision>3</cp:revision>
  <dcterms:created xsi:type="dcterms:W3CDTF">2020-12-16T09:17:00Z</dcterms:created>
  <dcterms:modified xsi:type="dcterms:W3CDTF">2021-09-29T06:47:00Z</dcterms:modified>
</cp:coreProperties>
</file>