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rFonts w:ascii="Times New Roman" w:hAnsi="Times New Roman" w:cs="Times New Roman"/>
          <w:sz w:val="24"/>
          <w:szCs w:val="24"/>
        </w:rPr>
        <w:t xml:space="preserve">СПРАВКА</w:t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о состоянии производственной безопасности на объектах строительства</w:t>
      </w:r>
    </w:p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W w:w="0" w:type="auto"/>
      </w:tblPr>
      <w:tr>
        <w:tc>
          <w:tcPr>
            <w:tcW w:w="96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«ObjTitle»</w:t>
            </w:r>
          </w:p>
        </w:tc>
      </w:tr>
    </w:tbl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на DateReview</w:t>
      </w:r>
    </w:p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Объекты строительства:</w:t>
      </w:r>
    </w:p>
    <w:tbl>
      <w:tblPr>
        <w:tblW w:w="0" w:type="auto"/>
      </w:tblPr>
      <w:tr>
        <w:tc>
          <w:tcPr>
            <w:tcW w:w="5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ObjNum.</w:t>
            </w:r>
          </w:p>
        </w:tc>
        <w:tc>
          <w:tcPr>
            <w:tcW w:w="91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«ObjTitle» ObjSubtitle</w:t>
            </w:r>
          </w:p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ObjSubtitle2</w:t>
            </w:r>
          </w:p>
        </w:tc>
      </w:tr>
    </w:tbl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</w:rPr>
        <w:t xml:space="preserve">Основные субподрядчики: SubcontractorsList</w:t>
      </w:r>
    </w:p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на объекте работников:</w:t>
      </w:r>
    </w:p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</w:tcPr>
          <w:p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№
п/п</w:t>
            </w:r>
          </w:p>
        </w:tc>
        <w:tc>
          <w:tcPr>
            <w:tcW w:w="5200" w:type="dxa"/>
          </w:tcPr>
          <w:p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Наименование организации</w:t>
            </w:r>
          </w:p>
        </w:tc>
        <w:tc>
          <w:tcPr>
            <w:tcW w:w="1700" w:type="dxa"/>
          </w:tcPr>
          <w:p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Кол-во спец.
по ПБ</w:t>
            </w:r>
          </w:p>
        </w:tc>
        <w:tc>
          <w:tcPr>
            <w:tcW w:w="1700" w:type="dxa"/>
          </w:tcPr>
          <w:p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Кол-во
работников</w:t>
            </w:r>
          </w:p>
        </w:tc>
      </w:tr>
      <w:tr>
        <w:tc>
          <w:tcPr>
            <w:tcW w:w="7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OrgNum.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OrgName</w:t>
            </w:r>
          </w:p>
        </w:tc>
        <w:tc>
          <w:tcPr>
            <w:tcW w:w="17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OrgPbCount</w:t>
            </w:r>
          </w:p>
        </w:tc>
        <w:tc>
          <w:tcPr>
            <w:tcW w:w="17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OrgWorkersCount</w:t>
            </w:r>
          </w:p>
        </w:tc>
      </w:tr>
      <w:tr>
        <w:tc>
          <w:tcPr>
            <w:tcW w:w="7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5200" w:type="dxa"/>
          </w:tcPr>
          <w:p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ВСЕГО</w:t>
            </w:r>
          </w:p>
        </w:tc>
        <w:tc>
          <w:tcPr>
            <w:tcW w:w="17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OrgPbTotal</w:t>
            </w:r>
          </w:p>
        </w:tc>
        <w:tc>
          <w:tcPr>
            <w:tcW w:w="17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OrgWorkersTotal</w:t>
            </w:r>
          </w:p>
        </w:tc>
      </w:tr>
    </w:tbl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</w:rPr>
        <w:t xml:space="preserve">DateReview</w:t>
      </w:r>
    </w:p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Проведена проверка требований производственной безопасности на объектах ObjectsTitles и выявлены следующие нарушения:</w:t>
      </w:r>
    </w:p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W w:w="0" w:type="auto"/>
      </w:tblPr>
      <w:tr>
        <w:tc>
          <w:tcPr>
            <w:tcW w:w="1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PoradNum</w:t>
            </w:r>
          </w:p>
        </w:tc>
        <w:tc>
          <w:tcPr>
            <w:tcW w:w="9600" w:type="dxa"/>
          </w:tcPr>
          <w:p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ddescrVi</w:t>
            </w:r>
          </w:p>
        </w:tc>
      </w:tr>
    </w:tbl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Устранение выданных замечаний по РММ и складам ПСК:</w:t>
      </w:r>
    </w:p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</w:rPr>
        <w:t xml:space="preserve">RemarksRMM</w:t>
      </w:r>
    </w:p>
    <w:p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</w:rPr>
        <w:t xml:space="preserve">В качестве компенсирующих мероприятий до устранения, установлены</w:t>
      </w:r>
    </w:p>
    <w:p>
      <w:r>
        <w:rPr>
          <w:rFonts w:ascii="Times New Roman" w:hAnsi="Times New Roman" w:cs="Times New Roman"/>
          <w:sz w:val="24"/>
          <w:szCs w:val="24"/>
        </w:rPr>
        <w:t xml:space="preserve">Conclusion</w:t>
      </w:r>
    </w:p>
    <w:p>
      <w:r>
        <w:br w:type="page"/>
      </w:r>
    </w:p>
    <w:p>
      <w:pPr>
        <w:jc w:val="center"/>
      </w:pPr>
      <w:r>
        <w:rPr>
          <w:b/>
          <w:rFonts w:ascii="Times New Roman" w:hAnsi="Times New Roman" w:cs="Times New Roman"/>
          <w:sz w:val="24"/>
          <w:szCs w:val="24"/>
        </w:rPr>
        <w:t xml:space="preserve">ПАМЯТКА ПО МАРКЕРАМ ШАБЛОНА СПРАВКИ</w:t>
      </w:r>
    </w:p>
    <w:p>
      <w:r>
        <w:rPr>
          <w:rFonts w:ascii="Times New Roman" w:hAnsi="Times New Roman" w:cs="Times New Roman"/>
          <w:sz w:val="24"/>
          <w:szCs w:val="24"/>
        </w:rPr>
        <w:t xml:space="preserve">DateReview — Дата справки. Источник: Мастер → дата акта.</w:t>
      </w:r>
    </w:p>
    <w:p>
      <w:r>
        <w:rPr>
          <w:rFonts w:ascii="Times New Roman" w:hAnsi="Times New Roman" w:cs="Times New Roman"/>
          <w:sz w:val="24"/>
          <w:szCs w:val="24"/>
        </w:rPr>
        <w:t xml:space="preserve">ObjectsTitles — Объекты в тексте. Источник: Все объекты акта.</w:t>
      </w:r>
    </w:p>
    <w:p>
      <w:r>
        <w:rPr>
          <w:rFonts w:ascii="Times New Roman" w:hAnsi="Times New Roman" w:cs="Times New Roman"/>
          <w:sz w:val="24"/>
          <w:szCs w:val="24"/>
        </w:rPr>
        <w:t xml:space="preserve">ObjNum / ObjTitle / ObjSubtitle / ObjSubtitle2 — Блок объектов. Источник: Справочник объектов.</w:t>
      </w:r>
    </w:p>
    <w:p>
      <w:r>
        <w:rPr>
          <w:rFonts w:ascii="Times New Roman" w:hAnsi="Times New Roman" w:cs="Times New Roman"/>
          <w:sz w:val="24"/>
          <w:szCs w:val="24"/>
        </w:rPr>
        <w:t xml:space="preserve">SubcontractorsList — Субподрядчики. Источник: Текст в шаблоне (редактируется в Word).</w:t>
      </w:r>
    </w:p>
    <w:p>
      <w:r>
        <w:rPr>
          <w:rFonts w:ascii="Times New Roman" w:hAnsi="Times New Roman" w:cs="Times New Roman"/>
          <w:sz w:val="24"/>
          <w:szCs w:val="24"/>
        </w:rPr>
        <w:t xml:space="preserve">OrgNum / OrgName — Таблица работников. Источник: Справочник организаций.</w:t>
      </w:r>
    </w:p>
    <w:p>
      <w:r>
        <w:rPr>
          <w:rFonts w:ascii="Times New Roman" w:hAnsi="Times New Roman" w:cs="Times New Roman"/>
          <w:sz w:val="24"/>
          <w:szCs w:val="24"/>
        </w:rPr>
        <w:t xml:space="preserve">OrgPbCount / OrgWorkersCount — Числа в таблице. Источник: Вручную в шаблоне.</w:t>
      </w:r>
    </w:p>
    <w:p>
      <w:r>
        <w:rPr>
          <w:rFonts w:ascii="Times New Roman" w:hAnsi="Times New Roman" w:cs="Times New Roman"/>
          <w:sz w:val="24"/>
          <w:szCs w:val="24"/>
        </w:rPr>
        <w:t xml:space="preserve">ddescrVi — Нарушения. Источник: Карточки нарушений.</w:t>
      </w:r>
    </w:p>
    <w:p>
      <w:r>
        <w:rPr>
          <w:rFonts w:ascii="Times New Roman" w:hAnsi="Times New Roman" w:cs="Times New Roman"/>
          <w:sz w:val="24"/>
          <w:szCs w:val="24"/>
        </w:rPr>
        <w:t xml:space="preserve">RemarksRMM — Замечания по РММ. Источник: Мастер → описание акта.</w:t>
      </w:r>
    </w:p>
    <w:p>
      <w:r>
        <w:rPr>
          <w:rFonts w:ascii="Times New Roman" w:hAnsi="Times New Roman" w:cs="Times New Roman"/>
          <w:sz w:val="24"/>
          <w:szCs w:val="24"/>
        </w:rPr>
        <w:t xml:space="preserve">Conclusion — Компенсирующие мероприятия. Источник: Мастер → выводы комиссии.</w:t>
      </w:r>
    </w:p>
    <w:p>
      <w:r>
        <w:rPr>
          <w:rFonts w:ascii="Times New Roman" w:hAnsi="Times New Roman" w:cs="Times New Roman"/>
          <w:sz w:val="24"/>
          <w:szCs w:val="24"/>
        </w:rPr>
        <w:t xml:space="preserve">После оформления удалите эту памятку и загрузите .docx в приложение.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Gazprom Web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Шаблон справки по ПБ</dc:title>
  <dc:creator>Gazprom Web</dc:creator>
  <dcterms:created xsi:type="dcterms:W3CDTF">2026-06-18T15:28:28Z</dcterms:created>
</cp:coreProperties>
</file>