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Назначение</w:t>
      </w:r>
    </w:p>
    <w:p>
      <w:r>
        <w:t>Отдельная радиостанция P-357Н представляет собой мобильный комплекс, предназначенный для решения задач организации радиосвязи и прогнозирования условий распространения волн в декаметровом диапазоне.</w:t>
      </w:r>
    </w:p>
    <w:p>
      <w:r>
        <w:t>Работа Р-357Н организуется только на стоянке с развертыванием на местности антенно-фидерных устройств.</w:t>
      </w:r>
    </w:p>
    <w:p>
      <w:r>
        <w:t>Потребляемая мощность не превышает 20 кВт.</w:t>
      </w:r>
    </w:p>
    <w:p>
      <w:r>
        <w:t>Состав полевого варианта Р-357Н:</w:t>
      </w:r>
    </w:p>
    <w:p>
      <w:r>
        <w:t>-аппаратная на базе КамА3-43114;</w:t>
      </w:r>
    </w:p>
    <w:p>
      <w:r>
        <w:t>-КБЗН (комплект бытового и запасного назначения), размещенный в кузове-фургоне К2П4А на прицепе автомобильном модели 782Б;</w:t>
      </w:r>
    </w:p>
    <w:p>
      <w:r>
        <w:t>- подвижной электростанции ЭД2×30-Т400-1РАМ.</w:t>
      </w:r>
    </w:p>
    <w:p>
      <w:r>
        <w:t>В аппаратной установлен комплекс аппаратуры, состоящий из следующих основных частей:</w:t>
      </w:r>
    </w:p>
    <w:p>
      <w:r>
        <w:t>-трех многоканальных КВ радиоприемных устройств "Нерпа-РПУ", обеспечивающих независимый прием и обработку сигналов в диапазоне частот от 1,5 до 29,99999 МГц по двенадцати трактам с индивидуальными антенными входами;</w:t>
      </w:r>
    </w:p>
    <w:p>
      <w:r>
        <w:t>-двух автоматизированных радиопередающих устройств КВ-диапазона ("Нерпа-А"), работающих в диапазоне частот от 3 до 29,99999 МГц;</w:t>
      </w:r>
    </w:p>
    <w:p>
      <w:r>
        <w:t>-устройства "Нерпа-КМ", обеспечивающего сопряжение обоих пультов операторов с техническими средствами (TC) аппаратной и каналами внутри узловой связи (ВУС) на базе ЭВМ "Багет-23В-04.01";</w:t>
      </w:r>
    </w:p>
    <w:p>
      <w:r>
        <w:t>-аппаратуры ВУС;</w:t>
      </w:r>
    </w:p>
    <w:p>
      <w:r>
        <w:t>-технических средств, обеспечивающих установку и корректировку текущего времени;</w:t>
      </w:r>
    </w:p>
    <w:p>
      <w:r>
        <w:t>-системы электропитания;</w:t>
      </w:r>
    </w:p>
    <w:p>
      <w:r>
        <w:t>-системы обеспечения тепловых режимов (СОТР);</w:t>
      </w:r>
    </w:p>
    <w:p>
      <w:r>
        <w:t>-системы поддержания избыточного давления.</w:t>
      </w:r>
    </w:p>
    <w:p>
      <w:r>
        <w:t>2) Технические данные</w:t>
      </w:r>
    </w:p>
    <w:p>
      <w:r>
        <w:t>Отдельная радиостанция обеспечивает:</w:t>
      </w:r>
    </w:p>
    <w:p>
      <w:r>
        <w:t>1. Прием и передачу сообщений:</w:t>
      </w:r>
    </w:p>
    <w:p>
      <w:r>
        <w:t>- по радиоканалу в декаметровом диапазоне волн 3-29,99999 МГц на трассах протяженностью до 4000 км;</w:t>
      </w:r>
    </w:p>
    <w:p>
      <w:r>
        <w:t>- выделенным проводным и радиорелейным каналам для обеспечения взаимодействия с полевым радиоузлом "Мореплавание-АР"</w:t>
      </w:r>
    </w:p>
    <w:p>
      <w:r>
        <w:t>2. Проведение сеансов связи, предусмотренных правилами Nº 1, 2, 3, 4, 5, 6, 8, 80, 8Н по декаметровому радиоканалу:</w:t>
      </w:r>
    </w:p>
    <w:p>
      <w:r>
        <w:t>- с корреспондентами, оснащенными радиостанциями Р-353СМ, "Маковка", Р-3970К-2, "Дон", "Дон-2М"; средствами радиолинии "Воронеж";</w:t>
      </w:r>
    </w:p>
    <w:p>
      <w:r>
        <w:t>- с полевым радиоузлом "Мореплавание-АР";</w:t>
      </w:r>
    </w:p>
    <w:p>
      <w:r>
        <w:t>- со стационарными радиоузлами, оснащенными средствами радиолиний "Байкал-ПДС", "Байкал-ПІРТР", "Представитель";</w:t>
      </w:r>
    </w:p>
    <w:p>
      <w:r>
        <w:t>- проведение сеансов связи в соответствии с методиками для радиолиний "Длань", "Представитель";</w:t>
      </w:r>
    </w:p>
    <w:p>
      <w:r>
        <w:t>- проведение возвратно-наклонного (ВН3) и трассового (Т3) зондирования.</w:t>
      </w:r>
    </w:p>
    <w:p>
      <w:r>
        <w:t>3. Служебную телефонную:</w:t>
      </w:r>
    </w:p>
    <w:p>
      <w:r>
        <w:t>- радиосвязь с внешними абонентами по УКВ-каналам связи с использованием радиостанции Р-392-АЦМ;</w:t>
      </w:r>
    </w:p>
    <w:p>
      <w:r>
        <w:t>- связь с индукторным вызовом с КБЗ и электростанцией.</w:t>
      </w:r>
    </w:p>
    <w:p>
      <w:r>
        <w:t>4.Электрическое и информационное сопряжение с изделиями "Орех-2М", Р-361M3.1 (P-361 M3), AP-23, M-227, В-600М по кабелям внешних подключений П-269М-2×4+1×2 по каналам в соответствии с Протоколом ВУС и Протоколом информационно-логического и физического взаимодействия изделий М-227 и В-600М.</w:t>
      </w:r>
    </w:p>
    <w:p>
      <w:r>
        <w:t>5. Взаимодействие по радиорелейному каналу с изделиями "Орех-2M", Р-361M3.1 (Р-361M3) и АР-23:</w:t>
      </w:r>
    </w:p>
    <w:p>
      <w:r>
        <w:t>-по каналу служебной связи;</w:t>
      </w:r>
    </w:p>
    <w:p>
      <w:r>
        <w:t>-информационному каналу с АПД;</w:t>
      </w:r>
    </w:p>
    <w:p>
      <w:r>
        <w:t>-информационному каналу с последовательным интерфейсом RS-232С;</w:t>
      </w:r>
    </w:p>
    <w:p>
      <w:r>
        <w:t>-линиям манипуляции ТЛГ- и ТЛФ-сигналами (управление внешним и собственными передатчиками).</w:t>
      </w:r>
    </w:p>
    <w:p>
      <w:r>
        <w:t>6. Прием и передачу РГ в соответствии с ТТХ аппаратуры корреспондентов, криптограмм по каналам МУС и ВУС в виде компьютерных файлов.</w:t>
      </w:r>
    </w:p>
    <w:p>
      <w:r>
        <w:t>7. Одновременное проведение:</w:t>
      </w:r>
    </w:p>
    <w:p>
      <w:r>
        <w:t>-сеанса ДС с взаимодействием по каналу МУС;</w:t>
      </w:r>
    </w:p>
    <w:p>
      <w:r>
        <w:t>-двух сеансов ДС по расписанию с проведением КРП;</w:t>
      </w:r>
    </w:p>
    <w:p>
      <w:r>
        <w:t>-двух сеансов МУС;</w:t>
      </w:r>
    </w:p>
    <w:p>
      <w:r>
        <w:t>-до 12 сеансов ОК по расписанию;</w:t>
      </w:r>
    </w:p>
    <w:p>
      <w:r>
        <w:t>-сеансов контроля за вызовами двух групп корреспондентов на ЧДП с резервированием средств для перевода корреспондента в сеанс ДС с КРП.</w:t>
      </w:r>
    </w:p>
    <w:p>
      <w:r>
        <w:t>8. Ведение (просмотр, редактирование, документирование на принтере) баз данных:</w:t>
      </w:r>
    </w:p>
    <w:p>
      <w:r>
        <w:t>-по абонентам и маршрутам внутриузловой связи;</w:t>
      </w:r>
    </w:p>
    <w:p>
      <w:r>
        <w:t>-суточному ГЗ;</w:t>
      </w:r>
    </w:p>
    <w:p>
      <w:r>
        <w:t>-характеристикам корреспондентов;</w:t>
      </w:r>
    </w:p>
    <w:p>
      <w:r>
        <w:t>-радиоданным;</w:t>
      </w:r>
    </w:p>
    <w:p>
      <w:r>
        <w:t>-входящим и исходящим РГ;</w:t>
      </w:r>
    </w:p>
    <w:p>
      <w:r>
        <w:t>-типам и азимутам развертывания приемных и передающих антенн;</w:t>
      </w:r>
    </w:p>
    <w:p>
      <w:r>
        <w:t>-маршрутам доставки РГ;</w:t>
      </w:r>
    </w:p>
    <w:p>
      <w:r>
        <w:t>-состоянию дистанционно управляемых технических средств аппаратной;</w:t>
      </w:r>
    </w:p>
    <w:p>
      <w:r>
        <w:t>-результатам сеансов связи с корреспондентами;</w:t>
      </w:r>
    </w:p>
    <w:p>
      <w:r>
        <w:t>-протоколу работы (аппаратному журналу).</w:t>
      </w:r>
    </w:p>
    <w:p>
      <w:r>
        <w:t>9. Возможность ведения сеансов ОК и ОЦ:</w:t>
      </w:r>
    </w:p>
    <w:p>
      <w:r>
        <w:t>-в автоматическом режиме;</w:t>
      </w:r>
    </w:p>
    <w:p>
      <w:r>
        <w:t>-автоматизированное (с участием оператора) ведение сеансов на ЧДП, ДС, МУС в соответствии с суточным графиком загрузки (ГЗ).</w:t>
      </w:r>
    </w:p>
    <w:p>
      <w:r>
        <w:t>10. Разработку радиоданных для программ связи, суточного ГЗ РУ и выписок из ГЗ для каждого рабочего места РУ.</w:t>
      </w:r>
    </w:p>
    <w:p>
      <w:r>
        <w:t>11. Контроль выполнения суточного ГЗ, работы передающих средств при проведении сеансов ОЦ, ДС, МУС, работоспособности ДУ технических средств на уровне встроенных средств контроля, сквозной контроль работоспособности 12 приемных трактов (от антенного входа), антивирусный контроль программных средств.</w:t>
      </w:r>
    </w:p>
    <w:p>
      <w:r>
        <w:t>12. Установку и корректировку текущего времени по сигналам очного времени (с ТЛФ выхода РПУ) и ввод текущего времени в ЭВМ пульта оператора (основной и дополнительный) с использованием блока СЕВ.</w:t>
      </w:r>
    </w:p>
    <w:p>
      <w:r>
        <w:t>13. Защиту от несанкционированного доступа (НДС) программно-аппаратными средствами, ведение протокола работы с отображением результатов проведения сеансов связи, ввод маршрутно-адресной информации (МАИ) для аппаратуры T-235-1У, доставку принятой от корреспондента информации.</w:t>
      </w:r>
    </w:p>
    <w:p>
      <w:r>
        <w:t>14. Подключение следующих антенн:</w:t>
      </w:r>
    </w:p>
    <w:p>
      <w:r>
        <w:t>а) приемные:</w:t>
      </w:r>
    </w:p>
    <w:p>
      <w:r>
        <w:t>-комбинированная приемная антенна КПРМ - 1 комплект;</w:t>
      </w:r>
    </w:p>
    <w:p>
      <w:r>
        <w:t>-комбинированная приемная антенна КПМ.1 - 1 комплект;</w:t>
      </w:r>
    </w:p>
    <w:p>
      <w:r>
        <w:t>-антенна ОБ2-150/2.7 - комплект.</w:t>
      </w:r>
    </w:p>
    <w:p>
      <w:r>
        <w:t>б) передающие:</w:t>
      </w:r>
    </w:p>
    <w:p>
      <w:r>
        <w:t>-комбинированная передающая антенна КПРД (2BН 13/9, VH-46/12) - 1 комплект;</w:t>
      </w:r>
    </w:p>
    <w:p>
      <w:r>
        <w:t>-антенна передающая ПРД (VH-46/12) - 1 комплект;</w:t>
      </w:r>
    </w:p>
    <w:p>
      <w:r>
        <w:t>-антенна ШВИ - 1 комплект.</w:t>
      </w:r>
    </w:p>
    <w:p>
      <w:r>
        <w:t>15. При этом взаимодействие аппаратной Р-357Н с аппаратными Р-361М3.1 (P-361M3), "Орех-2M", АР-23, В-600М, М-227 осуществляется по кабелям П-269M-2x4+1×2, которые подключаются к разъемам "Внешние абоненты" ввода линейного ВЛ-Н:</w:t>
      </w:r>
    </w:p>
    <w:p>
      <w:r>
        <w:t>- через разъем "Внешние абоненты"/1 с аппаратными Р-361М3.1 (Р-361M3) или  "Орех-2M", или АР-23;</w:t>
      </w:r>
    </w:p>
    <w:p>
      <w:r>
        <w:t>-через разъем "Внешние абоненты" /2 с В-600M;</w:t>
      </w:r>
    </w:p>
    <w:p>
      <w:r>
        <w:t>-через разъемы "Внешние абоненты"/2 и "Внешние абоненты"/3 с М-227.</w:t>
      </w:r>
    </w:p>
    <w:p>
      <w:r>
        <w:t>3) Выбор площадки развертывания:</w:t>
      </w:r>
    </w:p>
    <w:p>
      <w:r>
        <w:t>1. Для развертывания АФУ выбрать ровную площадку размером не менее 250 х 280 м.</w:t>
      </w:r>
    </w:p>
    <w:p>
      <w:r>
        <w:t>2. При выборе места развертывания необходимо учесть следующее:</w:t>
      </w:r>
    </w:p>
    <w:p>
      <w:r>
        <w:t>-вблизи площадки для развертывания АФУ не должно быть источников индустриальных помех (высоковольтных линий электропередач, электрифицированных железных дорог, промышленных препятствий);</w:t>
      </w:r>
    </w:p>
    <w:p>
      <w:r>
        <w:t>-АФУ должны быть удалены от препятствий: крутых скатов, возвышенностей, леса, высоких насыпей, каменных и железобетонных зданий, металлических сооружений, железнодорожного полотна, линий связи и высоковольтных линий электропередач не менее чем на 200 м.</w:t>
      </w:r>
    </w:p>
    <w:p>
      <w:r>
        <w:t>3. При выборе площадки следует избегать песчаных и болотистых грунтов, а также свежей пахоты, которые имеют низкую несущую способность.</w:t>
      </w:r>
    </w:p>
    <w:p>
      <w:r>
        <w:t xml:space="preserve">     Для обеспечения устойчивой связи необходимо:</w:t>
      </w:r>
    </w:p>
    <w:p>
      <w:r>
        <w:t>а) правильно выбрать место установки аппаратной:</w:t>
      </w:r>
    </w:p>
    <w:p>
      <w:r>
        <w:t>-при наличии возвышенности целесообразно находиться на самой высокой ее части;</w:t>
      </w:r>
    </w:p>
    <w:p>
      <w:r>
        <w:t>-при работе в лесу выбирать открытые площадки с низкорослой растительностью;</w:t>
      </w:r>
    </w:p>
    <w:p>
      <w:r>
        <w:t>-избегать высоких строений, высоковольтных линий электропередач и контактных сетей;</w:t>
      </w:r>
    </w:p>
    <w:p>
      <w:r>
        <w:t>б) учитывать наличие помех со стороны радиостанций большой мощности, радиолокационных станций и других устройств, создающих помехи.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