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line="280"/>
        <w:jc w:val="left"/>
      </w:pPr>
      <w:r>
        <w:rPr>
          <w:rFonts w:ascii="Arial" w:cs="Arial" w:eastAsia="Arial" w:hAnsi="Arial"/>
          <w:b w:val="false"/>
          <w:bCs w:val="false"/>
          <w:i w:val="false"/>
          <w:iCs w:val="false"/>
          <w:color w:val="111111"/>
          <w:sz w:val="22"/>
          <w:szCs w:val="22"/>
        </w:rPr>
        <w:t xml:space="preserve"/>
      </w:r>
    </w:p>
    <w:p>
      <w:pPr>
        <w:spacing w:before="80" w:after="80" w:line="280"/>
        <w:jc w:val="left"/>
      </w:pPr>
      <w:r>
        <w:rPr>
          <w:rFonts w:ascii="Arial" w:cs="Arial" w:eastAsia="Arial" w:hAnsi="Arial"/>
          <w:b w:val="false"/>
          <w:bCs w:val="false"/>
          <w:i w:val="false"/>
          <w:iCs w:val="false"/>
          <w:color w:val="111111"/>
          <w:sz w:val="22"/>
          <w:szCs w:val="22"/>
        </w:rPr>
        <w:t xml:space="preserve"/>
      </w:r>
    </w:p>
    <w:p>
      <w:pPr>
        <w:spacing w:before="0" w:after="240"/>
        <w:jc w:val="center"/>
      </w:pPr>
      <w:r>
        <w:rPr>
          <w:rFonts w:ascii="Arial" w:cs="Arial" w:eastAsia="Arial" w:hAnsi="Arial"/>
          <w:b/>
          <w:bCs/>
          <w:color w:val="1B3A6B"/>
          <w:sz w:val="48"/>
          <w:szCs w:val="48"/>
        </w:rPr>
        <w:t xml:space="preserve">RESEARCH PROTOCOL</w:t>
      </w:r>
    </w:p>
    <w:p>
      <w:pPr>
        <w:spacing w:before="0" w:after="160"/>
        <w:jc w:val="center"/>
      </w:pPr>
      <w:r>
        <w:rPr>
          <w:rFonts w:ascii="Arial" w:cs="Arial" w:eastAsia="Arial" w:hAnsi="Arial"/>
          <w:b/>
          <w:bCs/>
          <w:color w:val="0D6E6E"/>
          <w:sz w:val="36"/>
          <w:szCs w:val="36"/>
        </w:rPr>
        <w:t xml:space="preserve">Lymph Node Ratio vs TNM N-Stage as a Prognostic Marker in Node-Positive Colorectal Cancer</w:t>
      </w:r>
    </w:p>
    <w:p>
      <w:pPr>
        <w:spacing w:before="0" w:after="480"/>
        <w:jc w:val="center"/>
      </w:pPr>
      <w:r>
        <w:rPr>
          <w:rFonts w:ascii="Arial" w:cs="Arial" w:eastAsia="Arial" w:hAnsi="Arial"/>
          <w:i/>
          <w:iCs/>
          <w:color w:val="6B7280"/>
          <w:sz w:val="26"/>
          <w:szCs w:val="26"/>
        </w:rPr>
        <w:t xml:space="preserve">A Comparative Prognostic Performance Study in a South Asian Tertiary Referral Cohort</w:t>
      </w:r>
    </w:p>
    <w:p>
      <w:pPr>
        <w:pBdr>
          <w:bottom w:val="single" w:color="D6DBE4" w:sz="6"/>
        </w:pBdr>
        <w:spacing w:before="0" w:after="240"/>
      </w:pPr>
      <w:r>
        <w:rPr>
          <w:rFonts w:ascii="Arial" w:cs="Arial" w:eastAsia="Arial" w:hAnsi="Arial"/>
          <w:b w:val="false"/>
          <w:bCs w:val="false"/>
          <w:i w:val="false"/>
          <w:iCs w:val="false"/>
          <w:color w:val="111111"/>
          <w:sz w:val="22"/>
          <w:szCs w:val="22"/>
        </w:rPr>
        <w:t xml:space="preserve"/>
      </w:r>
    </w:p>
    <w:p>
      <w:pPr>
        <w:spacing w:before="0" w:after="80"/>
        <w:jc w:val="center"/>
      </w:pPr>
      <w:r>
        <w:rPr>
          <w:rFonts w:ascii="Arial" w:cs="Arial" w:eastAsia="Arial" w:hAnsi="Arial"/>
          <w:color w:val="6B7280"/>
          <w:sz w:val="22"/>
          <w:szCs w:val="22"/>
        </w:rPr>
        <w:t xml:space="preserve">Version 2.0  |  Post-Critical-Review Edition</w:t>
      </w:r>
    </w:p>
    <w:p>
      <w:pPr>
        <w:spacing w:before="0" w:after="480"/>
        <w:jc w:val="center"/>
      </w:pPr>
      <w:r>
        <w:rPr>
          <w:rFonts w:ascii="Arial" w:cs="Arial" w:eastAsia="Arial" w:hAnsi="Arial"/>
          <w:b/>
          <w:bCs/>
          <w:color w:val="8B1A1A"/>
          <w:sz w:val="22"/>
          <w:szCs w:val="22"/>
        </w:rPr>
        <w:t xml:space="preserve">Pre-Registration Required Before Data Extraction</w:t>
      </w:r>
    </w:p>
    <w:p>
      <w:pPr>
        <w:spacing w:before="80" w:after="80" w:line="280"/>
        <w:jc w:val="left"/>
      </w:pPr>
      <w:r>
        <w:rPr>
          <w:rFonts w:ascii="Arial" w:cs="Arial" w:eastAsia="Arial" w:hAnsi="Arial"/>
          <w:b w:val="false"/>
          <w:bCs w:val="false"/>
          <w:i w:val="false"/>
          <w:iCs w:val="false"/>
          <w:color w:val="111111"/>
          <w:sz w:val="22"/>
          <w:szCs w:val="22"/>
        </w:rPr>
        <w:t xml:space="preserve"/>
      </w:r>
    </w:p>
    <w:p>
      <w:pPr>
        <w:spacing w:before="80" w:after="80" w:line="280"/>
        <w:jc w:val="left"/>
      </w:pPr>
      <w:r>
        <w:rPr>
          <w:rFonts w:ascii="Arial" w:cs="Arial" w:eastAsia="Arial" w:hAnsi="Arial"/>
          <w:b w:val="false"/>
          <w:bCs w:val="false"/>
          <w:i w:val="false"/>
          <w:iCs w:val="false"/>
          <w:color w:val="111111"/>
          <w:sz w:val="22"/>
          <w:szCs w:val="22"/>
        </w:rPr>
        <w:t xml:space="preserve"/>
      </w:r>
    </w:p>
    <w:p>
      <w:pPr>
        <w:spacing w:before="80" w:after="80" w:line="280"/>
        <w:jc w:val="left"/>
      </w:pPr>
      <w:r>
        <w:rPr>
          <w:rFonts w:ascii="Arial" w:cs="Arial" w:eastAsia="Arial" w:hAnsi="Arial"/>
          <w:b w:val="false"/>
          <w:bCs w:val="false"/>
          <w:i w:val="false"/>
          <w:iCs w:val="false"/>
          <w:color w:val="111111"/>
          <w:sz w:val="22"/>
          <w:szCs w:val="22"/>
        </w:rPr>
        <w:t xml:space="preserve"/>
      </w:r>
    </w:p>
    <w:p>
      <w:pPr>
        <w:spacing w:before="80" w:after="80" w:line="280"/>
        <w:jc w:val="left"/>
      </w:pPr>
      <w:r>
        <w:rPr>
          <w:rFonts w:ascii="Arial" w:cs="Arial" w:eastAsia="Arial" w:hAnsi="Arial"/>
          <w:b w:val="false"/>
          <w:bCs w:val="false"/>
          <w:i w:val="false"/>
          <w:iCs w:val="false"/>
          <w:color w:val="111111"/>
          <w:sz w:val="22"/>
          <w:szCs w:val="22"/>
        </w:rPr>
        <w:t xml:space="preserve"/>
      </w:r>
    </w:p>
    <w:p>
      <w:pPr>
        <w:spacing w:before="0" w:after="80"/>
        <w:jc w:val="center"/>
      </w:pPr>
      <w:r>
        <w:rPr>
          <w:rFonts w:ascii="Arial" w:cs="Arial" w:eastAsia="Arial" w:hAnsi="Arial"/>
          <w:color w:val="6B7280"/>
          <w:sz w:val="20"/>
          <w:szCs w:val="20"/>
        </w:rPr>
        <w:t xml:space="preserve">Reporting Standards: STROBE  |  TRIPOD  |  ISRCTN / OSF Registration</w:t>
      </w:r>
    </w:p>
    <w:p>
      <w:pPr>
        <w:spacing w:before="0" w:after="0"/>
        <w:jc w:val="center"/>
      </w:pPr>
      <w:r>
        <w:rPr>
          <w:rFonts w:ascii="Arial" w:cs="Arial" w:eastAsia="Arial" w:hAnsi="Arial"/>
          <w:color w:val="6B7280"/>
          <w:sz w:val="20"/>
          <w:szCs w:val="20"/>
        </w:rPr>
        <w:t xml:space="preserve">Target Dissemination: Peer-Reviewed Publication  |  AJCC Staging Committee  |  RCPath  |  ASCO</w:t>
      </w:r>
    </w:p>
    <w:p>
      <w:pPr>
        <w:spacing w:before="0" w:after="0"/>
      </w:pPr>
      <w:r>
        <w:br/>
      </w:r>
    </w:p>
    <w:p>
      <w:pPr>
        <w:pStyle w:val="Heading1"/>
        <w:pBdr>
          <w:bottom w:val="single" w:color="1B3A6B" w:sz="8"/>
        </w:pBdr>
        <w:spacing w:before="360" w:after="160"/>
      </w:pPr>
      <w:r>
        <w:rPr>
          <w:rFonts w:ascii="Arial" w:cs="Arial" w:eastAsia="Arial" w:hAnsi="Arial"/>
          <w:b/>
          <w:bCs/>
          <w:color w:val="1B3A6B"/>
          <w:sz w:val="32"/>
          <w:szCs w:val="32"/>
        </w:rPr>
        <w:t xml:space="preserve">1. Background and Scientific Rationale</w:t>
      </w:r>
    </w:p>
    <w:p>
      <w:pPr>
        <w:pStyle w:val="Heading2"/>
        <w:spacing w:before="280" w:after="120"/>
      </w:pPr>
      <w:r>
        <w:rPr>
          <w:rFonts w:ascii="Arial" w:cs="Arial" w:eastAsia="Arial" w:hAnsi="Arial"/>
          <w:b/>
          <w:bCs/>
          <w:color w:val="0D6E6E"/>
          <w:sz w:val="26"/>
          <w:szCs w:val="26"/>
        </w:rPr>
        <w:t xml:space="preserve">1.1 Colorectal Cancer and Lymph Node Staging</w:t>
      </w:r>
    </w:p>
    <w:p>
      <w:pPr>
        <w:spacing w:before="60" w:after="100" w:line="320"/>
        <w:jc w:val="left"/>
      </w:pPr>
      <w:r>
        <w:rPr>
          <w:rFonts w:ascii="Arial" w:cs="Arial" w:eastAsia="Arial" w:hAnsi="Arial"/>
          <w:b w:val="false"/>
          <w:bCs w:val="false"/>
          <w:i w:val="false"/>
          <w:iCs w:val="false"/>
          <w:color w:val="111111"/>
          <w:sz w:val="22"/>
          <w:szCs w:val="22"/>
        </w:rPr>
        <w:t xml:space="preserve">Colorectal cancer (CRC) is the third most commonly diagnosed malignancy worldwide and represents a major cause of cancer-related mortality in South Asia, where incidence rates are rising alongside rapid urbanisation and dietary transition. Accurate prognostic staging is the cornerstone of treatment stratification: it determines adjuvant chemotherapy eligibility, guides surveillance intensity, and provides the framework for international audit and research.</w:t>
      </w:r>
    </w:p>
    <w:p>
      <w:pPr>
        <w:spacing w:before="60" w:after="100" w:line="320"/>
        <w:jc w:val="left"/>
      </w:pPr>
      <w:r>
        <w:rPr>
          <w:rFonts w:ascii="Arial" w:cs="Arial" w:eastAsia="Arial" w:hAnsi="Arial"/>
          <w:b w:val="false"/>
          <w:bCs w:val="false"/>
          <w:i w:val="false"/>
          <w:iCs w:val="false"/>
          <w:color w:val="111111"/>
          <w:sz w:val="22"/>
          <w:szCs w:val="22"/>
        </w:rPr>
        <w:t xml:space="preserve">The current global standard for prognostic nodal staging in CRC is the American Joint Committee on Cancer (AJCC) Tumour-Node-Metastasis (TNM) 8th edition classification, which categorises nodal disease into N1a (1 positive node), N1b (2–3 positive nodes), N1c (tumour deposits without nodal metastasis), N2a (4–6 positive nodes), and N2b (7 or more positive nodes). This ordinal construct has been validated across large Western and international datasets and forms the basis of adjuvant chemotherapy decision-making in guidelines from the European Society for Medical Oncology (ESMO) and the American Society of Clinical Oncology (ASCO).</w:t>
      </w:r>
    </w:p>
    <w:p>
      <w:pPr>
        <w:pStyle w:val="Heading2"/>
        <w:spacing w:before="280" w:after="120"/>
      </w:pPr>
      <w:r>
        <w:rPr>
          <w:rFonts w:ascii="Arial" w:cs="Arial" w:eastAsia="Arial" w:hAnsi="Arial"/>
          <w:b/>
          <w:bCs/>
          <w:color w:val="0D6E6E"/>
          <w:sz w:val="26"/>
          <w:szCs w:val="26"/>
        </w:rPr>
        <w:t xml:space="preserve">1.2 The Denominator Problem: Why N-Stage Has a Structural Limitation</w:t>
      </w:r>
    </w:p>
    <w:p>
      <w:pPr>
        <w:spacing w:before="60" w:after="100" w:line="320"/>
        <w:jc w:val="left"/>
      </w:pPr>
      <w:r>
        <w:rPr>
          <w:rFonts w:ascii="Arial" w:cs="Arial" w:eastAsia="Arial" w:hAnsi="Arial"/>
          <w:b w:val="false"/>
          <w:bCs w:val="false"/>
          <w:i w:val="false"/>
          <w:iCs w:val="false"/>
          <w:color w:val="111111"/>
          <w:sz w:val="22"/>
          <w:szCs w:val="22"/>
        </w:rPr>
        <w:t xml:space="preserve">Despite its widespread adoption, TNM N-stage carries an inherent structural limitation: it is determined solely by the count of positive lymph nodes and is entirely blind to the total number of nodes examined (TLE). This creates a well-recognised denominator problem. Two patients with an identical N2a classification (four positive nodes) may have had 5 or 25 nodes examined — a fourfold difference in the denominator that N-stage does not encode. The patient with 4 positive nodes from 5 examined has a very different prognostic profile from the patient with 4 positive nodes from 25 examined, yet they receive identical staging.</w:t>
      </w:r>
    </w:p>
    <w:p>
      <w:pPr>
        <w:spacing w:before="60" w:after="100" w:line="320"/>
        <w:jc w:val="left"/>
      </w:pPr>
      <w:r>
        <w:rPr>
          <w:rFonts w:ascii="Arial" w:cs="Arial" w:eastAsia="Arial" w:hAnsi="Arial"/>
          <w:b w:val="false"/>
          <w:bCs w:val="false"/>
          <w:i w:val="false"/>
          <w:iCs w:val="false"/>
          <w:color w:val="111111"/>
          <w:sz w:val="22"/>
          <w:szCs w:val="22"/>
        </w:rPr>
        <w:t xml:space="preserve">This denominator blindness is clinically consequential for two reasons. First, TLE itself is prognostically associated with survival, likely through a combination of pathological quality and surgical adequacy effects. Second, in settings where lymph node harvest is consistently sub-optimal — as is likely in many South Asian institutions where standardised mesocolic excision and fat-clearing techniques are less uniformly applied than in Western centres — N-stage is particularly vulnerable to systematic understaging. A patient with truly N2 disease may be classified as N1 simply because an inadequate specimen yielded fewer nodes.</w:t>
      </w:r>
    </w:p>
    <w:p>
      <w:pPr>
        <w:pStyle w:val="Heading2"/>
        <w:spacing w:before="280" w:after="120"/>
      </w:pPr>
      <w:r>
        <w:rPr>
          <w:rFonts w:ascii="Arial" w:cs="Arial" w:eastAsia="Arial" w:hAnsi="Arial"/>
          <w:b/>
          <w:bCs/>
          <w:color w:val="0D6E6E"/>
          <w:sz w:val="26"/>
          <w:szCs w:val="26"/>
        </w:rPr>
        <w:t xml:space="preserve">1.3 The Lymph Node Ratio as a Candidate Staging Parameter</w:t>
      </w:r>
    </w:p>
    <w:p>
      <w:pPr>
        <w:spacing w:before="60" w:after="100" w:line="320"/>
        <w:jc w:val="left"/>
      </w:pPr>
      <w:r>
        <w:rPr>
          <w:rFonts w:ascii="Arial" w:cs="Arial" w:eastAsia="Arial" w:hAnsi="Arial"/>
          <w:b w:val="false"/>
          <w:bCs w:val="false"/>
          <w:i w:val="false"/>
          <w:iCs w:val="false"/>
          <w:color w:val="111111"/>
          <w:sz w:val="22"/>
          <w:szCs w:val="22"/>
        </w:rPr>
        <w:t xml:space="preserve">The lymph node ratio (LNR) is defined as the number of tumour-positive lymph nodes divided by the total number of lymph nodes examined. By incorporating both the numerator (positive nodes) and denominator (total nodes examined), LNR encodes the prognostic information from N-stage while simultaneously correcting for harvest adequacy. A patient with 4 of 5 nodes positive has an LNR of 0.80; a patient with 4 of 25 nodes positive has an LNR of 0.16 — a distinction that N-stage erases but that LNR preserves.</w:t>
      </w:r>
    </w:p>
    <w:p>
      <w:pPr>
        <w:spacing w:before="60" w:after="100" w:line="320"/>
        <w:jc w:val="left"/>
      </w:pPr>
      <w:r>
        <w:rPr>
          <w:rFonts w:ascii="Arial" w:cs="Arial" w:eastAsia="Arial" w:hAnsi="Arial"/>
          <w:b w:val="false"/>
          <w:bCs w:val="false"/>
          <w:i w:val="false"/>
          <w:iCs w:val="false"/>
          <w:color w:val="111111"/>
          <w:sz w:val="22"/>
          <w:szCs w:val="22"/>
        </w:rPr>
        <w:t xml:space="preserve">Published evidence from predominantly Western cohorts suggests that LNR provides prognostic stratification beyond N-stage in node-positive CRC, and that its advantage is amplified specifically in patients with inadequate lymph node harvest (TLE &lt; 12 nodes, the AJCC minimum adequacy threshold). Landmark work by Rosenberg et al. (2008) proposed standardised LNR thresholds of &lt; 0.05 (Low), 0.05–0.20 (Intermediate), and &gt; 0.20 (High) that have been replicated in subsequent validation studies. However, these cutpoints were derived and validated in Western populations with different distributions of TLE, surgical technique, and pathological processing. Their transportability to a South Asian context — where TLE distributions are likely shifted, pathological practice varies more widely, and the proportion of patients with sub-optimal harvest is greater — has not been formally evaluated.</w:t>
      </w:r>
    </w:p>
    <w:p>
      <w:pPr>
        <w:pStyle w:val="Heading2"/>
        <w:spacing w:before="280" w:after="120"/>
      </w:pPr>
      <w:r>
        <w:rPr>
          <w:rFonts w:ascii="Arial" w:cs="Arial" w:eastAsia="Arial" w:hAnsi="Arial"/>
          <w:b/>
          <w:bCs/>
          <w:color w:val="0D6E6E"/>
          <w:sz w:val="26"/>
          <w:szCs w:val="26"/>
        </w:rPr>
        <w:t xml:space="preserve">1.4 Gap in Evidence and South Asian Contextual Contribution</w:t>
      </w:r>
    </w:p>
    <w:p>
      <w:pPr>
        <w:spacing w:before="60" w:after="100" w:line="320"/>
        <w:jc w:val="left"/>
      </w:pPr>
      <w:r>
        <w:rPr>
          <w:rFonts w:ascii="Arial" w:cs="Arial" w:eastAsia="Arial" w:hAnsi="Arial"/>
          <w:b w:val="false"/>
          <w:bCs w:val="false"/>
          <w:i w:val="false"/>
          <w:iCs w:val="false"/>
          <w:color w:val="111111"/>
          <w:sz w:val="22"/>
          <w:szCs w:val="22"/>
        </w:rPr>
        <w:t xml:space="preserve">Despite a growing body of LNR literature, several critical gaps remain. No study has formally compared the prognostic performance of continuous LNR — modelled with restricted cubic splines to preserve the full prognostic signal — against categorical N-stage in a South Asian CRC cohort. The specific question of whether LNR retains prognostic value after adjustment for TLE (which is the mechanistic confounder of the comparison) has not been addressed in a three-layer symmetric comparison framework. Critically, no study has used calibration and decision-curve analysis — the metrics of primary relevance to staging committees — as the primary performance endpoints in this comparison.</w:t>
      </w:r>
    </w:p>
    <w:p>
      <w:pPr>
        <w:spacing w:before="60" w:after="100" w:line="320"/>
        <w:jc w:val="left"/>
      </w:pPr>
      <w:r>
        <w:rPr>
          <w:rFonts w:ascii="Arial" w:cs="Arial" w:eastAsia="Arial" w:hAnsi="Arial"/>
          <w:b w:val="false"/>
          <w:bCs w:val="false"/>
          <w:i w:val="false"/>
          <w:iCs w:val="false"/>
          <w:color w:val="111111"/>
          <w:sz w:val="22"/>
          <w:szCs w:val="22"/>
        </w:rPr>
        <w:t xml:space="preserve">This protocol addresses those gaps. The findings will constitute the first rigorous comparison of LNR versus N-stage prognostic performance in a South Asian CRC cohort, generating contextual evidence directly relevant to AJCC 9th edition preparatory discussions, the Royal College of Pathologists (RCPath) colorectal cancer dataset working group, and ASCO reporting guidelines. Importantly, the South Asian data on TLE distribution, proportion of sub-optimal harvest, and the magnitude of LNR's advantage in that stratum represent a unique contribution that no Western dataset can provide.</w:t>
      </w:r>
    </w:p>
    <w:p>
      <w:pPr>
        <w:spacing w:before="0" w:after="0"/>
      </w:pPr>
      <w:r>
        <w:br/>
      </w:r>
    </w:p>
    <w:p>
      <w:pPr>
        <w:pStyle w:val="Heading1"/>
        <w:pBdr>
          <w:bottom w:val="single" w:color="1B3A6B" w:sz="8"/>
        </w:pBdr>
        <w:spacing w:before="360" w:after="160"/>
      </w:pPr>
      <w:r>
        <w:rPr>
          <w:rFonts w:ascii="Arial" w:cs="Arial" w:eastAsia="Arial" w:hAnsi="Arial"/>
          <w:b/>
          <w:bCs/>
          <w:color w:val="1B3A6B"/>
          <w:sz w:val="32"/>
          <w:szCs w:val="32"/>
        </w:rPr>
        <w:t xml:space="preserve">2. Primary Research Question and Hypothesis Framework</w:t>
      </w:r>
    </w:p>
    <w:p>
      <w:pPr>
        <w:pStyle w:val="Heading2"/>
        <w:spacing w:before="280" w:after="120"/>
      </w:pPr>
      <w:r>
        <w:rPr>
          <w:rFonts w:ascii="Arial" w:cs="Arial" w:eastAsia="Arial" w:hAnsi="Arial"/>
          <w:b/>
          <w:bCs/>
          <w:color w:val="0D6E6E"/>
          <w:sz w:val="26"/>
          <w:szCs w:val="26"/>
        </w:rPr>
        <w:t xml:space="preserve">2.1 Primary Research Question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spacing w:before="80" w:after="80" w:line="280"/>
              <w:jc w:val="center"/>
            </w:pPr>
            <w:r>
              <w:rPr>
                <w:rFonts w:ascii="Arial" w:cs="Arial" w:eastAsia="Arial" w:hAnsi="Arial"/>
                <w:b/>
                <w:bCs/>
                <w:i w:val="false"/>
                <w:iCs w:val="false"/>
                <w:color w:val="FFFFFF"/>
                <w:sz w:val="20"/>
                <w:szCs w:val="20"/>
              </w:rPr>
              <w:t xml:space="preserve">PRIMARY QUESTION</w:t>
            </w:r>
          </w:p>
        </w:tc>
        <w:tc>
          <w:tcPr>
            <w:tcW w:type="dxa" w:w="8960"/>
            <w:tcBorders>
              <w:top w:val="single" w:color="D6DBE4" w:sz="4"/>
              <w:left w:val="single" w:color="D6DBE4" w:sz="4"/>
              <w:bottom w:val="single" w:color="D6DBE4" w:sz="4"/>
              <w:right w:val="single" w:color="D6DBE4" w:sz="4"/>
            </w:tcBorders>
            <w:shd w:fill="F8F9FC" w:val="clear"/>
            <w:tcMar>
              <w:top w:type="dxa" w:w="80"/>
              <w:left w:type="dxa" w:w="140"/>
              <w:bottom w:type="dxa" w:w="80"/>
              <w:right w:type="dxa" w:w="140"/>
            </w:tcMar>
          </w:tcPr>
          <w:p>
            <w:pPr>
              <w:spacing w:before="60" w:after="60" w:line="300"/>
              <w:jc w:val="left"/>
            </w:pPr>
            <w:r>
              <w:rPr>
                <w:rFonts w:ascii="Arial" w:cs="Arial" w:eastAsia="Arial" w:hAnsi="Arial"/>
                <w:b w:val="false"/>
                <w:bCs w:val="false"/>
                <w:i w:val="false"/>
                <w:iCs w:val="false"/>
                <w:color w:val="111111"/>
                <w:sz w:val="20"/>
                <w:szCs w:val="20"/>
              </w:rPr>
              <w:t xml:space="preserve">In adult patients with histologically confirmed node-positive colorectal adenocarcinoma undergoing curative-intent surgical resection, does the lymph node ratio (LNR — defined as positive nodes / total nodes examined, modelled continuously with restricted cubic splines) provide superior incremental predictive performance for overall survival compared to AJCC 8th edition TNM N-stage classification, after adjustment for established clinicopathological covariates including total lymph nodes examined and calendar period of surgery?</w:t>
            </w:r>
          </w:p>
        </w:tc>
      </w:tr>
    </w:tbl>
    <w:p>
      <w:pPr>
        <w:spacing w:before="80" w:after="80" w:line="280"/>
        <w:jc w:val="left"/>
      </w:pPr>
      <w:r>
        <w:rPr>
          <w:rFonts w:ascii="Arial" w:cs="Arial" w:eastAsia="Arial" w:hAnsi="Arial"/>
          <w:b w:val="false"/>
          <w:bCs w:val="false"/>
          <w:i w:val="false"/>
          <w:iCs w:val="false"/>
          <w:color w:val="111111"/>
          <w:sz w:val="22"/>
          <w:szCs w:val="22"/>
        </w:rPr>
        <w:t xml:space="preserve"/>
      </w:r>
    </w:p>
    <w:p>
      <w:pPr>
        <w:pStyle w:val="Heading2"/>
        <w:spacing w:before="280" w:after="120"/>
      </w:pPr>
      <w:r>
        <w:rPr>
          <w:rFonts w:ascii="Arial" w:cs="Arial" w:eastAsia="Arial" w:hAnsi="Arial"/>
          <w:b/>
          <w:bCs/>
          <w:color w:val="0D6E6E"/>
          <w:sz w:val="26"/>
          <w:szCs w:val="26"/>
        </w:rPr>
        <w:t xml:space="preserve">2.2 Declared Primary Estimand</w:t>
      </w:r>
    </w:p>
    <w:p>
      <w:pPr>
        <w:spacing w:before="60" w:after="100" w:line="320"/>
        <w:jc w:val="left"/>
      </w:pPr>
      <w:r>
        <w:rPr>
          <w:rFonts w:ascii="Arial" w:cs="Arial" w:eastAsia="Arial" w:hAnsi="Arial"/>
          <w:b w:val="false"/>
          <w:bCs w:val="false"/>
          <w:i w:val="false"/>
          <w:iCs w:val="false"/>
          <w:color w:val="111111"/>
          <w:sz w:val="22"/>
          <w:szCs w:val="22"/>
        </w:rPr>
        <w:t xml:space="preserve">The primary estimand is the incremental predictive performance of LNR over N-stage for overall survival, quantified as the difference in Uno's C-statistic between the full multivariable model incorporating LNR (Model D, Layer 3) and the full multivariable model incorporating N-stage (Model C, Layer 3), along with decision-curve analysis comparing net clinical benefit across a threshold probability range of 10–60%.</w:t>
      </w:r>
    </w:p>
    <w:p>
      <w:pPr>
        <w:spacing w:before="60" w:after="100" w:line="320"/>
        <w:jc w:val="left"/>
      </w:pPr>
      <w:r>
        <w:rPr>
          <w:rFonts w:ascii="Arial" w:cs="Arial" w:eastAsia="Arial" w:hAnsi="Arial"/>
          <w:b w:val="false"/>
          <w:bCs w:val="false"/>
          <w:i w:val="false"/>
          <w:iCs w:val="false"/>
          <w:color w:val="111111"/>
          <w:sz w:val="22"/>
          <w:szCs w:val="22"/>
        </w:rPr>
        <w:t xml:space="preserve">This estimand is explicitly chosen over the alternative estimand of independent prognostic association (hazard ratio for LNR) because the translational objective of the study is to inform staging frameworks maintained by AJCC, RCPath, and ASCO. Staging systems are prediction tools, not association tables. The incremental predictive performance estimand directly answers the staging-committee question: 'Does replacing N-stage with LNR lead to better-performing survival predictions across the range of clinical decision thresholds?' The independent association question (HR per LNR tier) is retained as a secondary estimand providing biological plausibility for the primary finding.</w:t>
      </w:r>
    </w:p>
    <w:p>
      <w:pPr>
        <w:pStyle w:val="Heading2"/>
        <w:spacing w:before="280" w:after="120"/>
      </w:pPr>
      <w:r>
        <w:rPr>
          <w:rFonts w:ascii="Arial" w:cs="Arial" w:eastAsia="Arial" w:hAnsi="Arial"/>
          <w:b/>
          <w:bCs/>
          <w:color w:val="0D6E6E"/>
          <w:sz w:val="26"/>
          <w:szCs w:val="26"/>
        </w:rPr>
        <w:t xml:space="preserve">2.3 Hypothesis Framework</w:t>
      </w:r>
    </w:p>
    <w:p>
      <w:pPr>
        <w:pStyle w:val="Heading3"/>
        <w:spacing w:before="200" w:after="80"/>
      </w:pPr>
      <w:r>
        <w:rPr>
          <w:rFonts w:ascii="Arial" w:cs="Arial" w:eastAsia="Arial" w:hAnsi="Arial"/>
          <w:b/>
          <w:bCs/>
          <w:color w:val="4A4A4A"/>
          <w:sz w:val="23"/>
          <w:szCs w:val="23"/>
        </w:rPr>
        <w:t xml:space="preserve">Primary hypothesis</w:t>
      </w:r>
    </w:p>
    <w:p>
      <w:pPr>
        <w:spacing w:before="60" w:after="100" w:line="320"/>
        <w:jc w:val="left"/>
      </w:pPr>
      <w:r>
        <w:rPr>
          <w:rFonts w:ascii="Arial" w:cs="Arial" w:eastAsia="Arial" w:hAnsi="Arial"/>
          <w:b w:val="false"/>
          <w:bCs w:val="false"/>
          <w:i w:val="false"/>
          <w:iCs w:val="false"/>
          <w:color w:val="111111"/>
          <w:sz w:val="22"/>
          <w:szCs w:val="22"/>
        </w:rPr>
        <w:t xml:space="preserve">H</w:t>
      </w:r>
      <w:r>
        <w:rPr>
          <w:rFonts w:ascii="Arial" w:cs="Arial" w:eastAsia="Arial" w:hAnsi="Arial"/>
          <w:b w:val="false"/>
          <w:bCs w:val="false"/>
          <w:i w:val="false"/>
          <w:iCs w:val="false"/>
          <w:color w:val="111111"/>
          <w:sz w:val="18"/>
          <w:szCs w:val="18"/>
        </w:rPr>
        <w:t xml:space="preserve">₁</w:t>
      </w:r>
      <w:r>
        <w:rPr>
          <w:rFonts w:ascii="Arial" w:cs="Arial" w:eastAsia="Arial" w:hAnsi="Arial"/>
          <w:b/>
          <w:bCs/>
          <w:i w:val="false"/>
          <w:iCs w:val="false"/>
          <w:color w:val="111111"/>
          <w:sz w:val="22"/>
          <w:szCs w:val="22"/>
        </w:rPr>
        <w:t xml:space="preserve"> (Alternative): </w:t>
      </w:r>
      <w:r>
        <w:rPr>
          <w:rFonts w:ascii="Arial" w:cs="Arial" w:eastAsia="Arial" w:hAnsi="Arial"/>
          <w:b w:val="false"/>
          <w:bCs w:val="false"/>
          <w:i w:val="false"/>
          <w:iCs w:val="false"/>
          <w:color w:val="111111"/>
          <w:sz w:val="22"/>
          <w:szCs w:val="22"/>
        </w:rPr>
        <w:t xml:space="preserve">The Uno C-statistic for overall survival is higher in the full multivariable model incorporating continuous LNR (Model D) than in the equivalent model incorporating AJCC N-stage (Model C), with a difference of ≥ 0.05 (the pre-specified threshold for clinical meaningfulness), at two-sided α = 0.05.</w:t>
      </w:r>
    </w:p>
    <w:p>
      <w:pPr>
        <w:spacing w:before="60" w:after="100" w:line="320"/>
        <w:jc w:val="left"/>
      </w:pPr>
      <w:r>
        <w:rPr>
          <w:rFonts w:ascii="Arial" w:cs="Arial" w:eastAsia="Arial" w:hAnsi="Arial"/>
          <w:b w:val="false"/>
          <w:bCs w:val="false"/>
          <w:i w:val="false"/>
          <w:iCs w:val="false"/>
          <w:color w:val="111111"/>
          <w:sz w:val="22"/>
          <w:szCs w:val="22"/>
        </w:rPr>
        <w:t xml:space="preserve">H</w:t>
      </w:r>
      <w:r>
        <w:rPr>
          <w:rFonts w:ascii="Arial" w:cs="Arial" w:eastAsia="Arial" w:hAnsi="Arial"/>
          <w:b w:val="false"/>
          <w:bCs w:val="false"/>
          <w:i w:val="false"/>
          <w:iCs w:val="false"/>
          <w:color w:val="111111"/>
          <w:sz w:val="18"/>
          <w:szCs w:val="18"/>
        </w:rPr>
        <w:t xml:space="preserve">₀</w:t>
      </w:r>
      <w:r>
        <w:rPr>
          <w:rFonts w:ascii="Arial" w:cs="Arial" w:eastAsia="Arial" w:hAnsi="Arial"/>
          <w:b/>
          <w:bCs/>
          <w:i w:val="false"/>
          <w:iCs w:val="false"/>
          <w:color w:val="111111"/>
          <w:sz w:val="22"/>
          <w:szCs w:val="22"/>
        </w:rPr>
        <w:t xml:space="preserve"> (Null): </w:t>
      </w:r>
      <w:r>
        <w:rPr>
          <w:rFonts w:ascii="Arial" w:cs="Arial" w:eastAsia="Arial" w:hAnsi="Arial"/>
          <w:b w:val="false"/>
          <w:bCs w:val="false"/>
          <w:i w:val="false"/>
          <w:iCs w:val="false"/>
          <w:color w:val="111111"/>
          <w:sz w:val="22"/>
          <w:szCs w:val="22"/>
        </w:rPr>
        <w:t xml:space="preserve">The Uno C-statistic for Model D is equal to or less than that of Model C (ΔC &lt; 0.05).</w:t>
      </w:r>
    </w:p>
    <w:p>
      <w:pPr>
        <w:pStyle w:val="Heading3"/>
        <w:spacing w:before="200" w:after="80"/>
      </w:pPr>
      <w:r>
        <w:rPr>
          <w:rFonts w:ascii="Arial" w:cs="Arial" w:eastAsia="Arial" w:hAnsi="Arial"/>
          <w:b/>
          <w:bCs/>
          <w:color w:val="4A4A4A"/>
          <w:sz w:val="23"/>
          <w:szCs w:val="23"/>
        </w:rPr>
        <w:t xml:space="preserve">Secondary hypotheses</w:t>
      </w:r>
    </w:p>
    <w:p>
      <w:pPr>
        <w:spacing w:before="60" w:after="100" w:line="320"/>
        <w:jc w:val="left"/>
      </w:pPr>
      <w:r>
        <w:rPr>
          <w:rFonts w:ascii="Arial" w:cs="Arial" w:eastAsia="Arial" w:hAnsi="Arial"/>
          <w:b/>
          <w:bCs/>
          <w:i w:val="false"/>
          <w:iCs w:val="false"/>
          <w:color w:val="111111"/>
          <w:sz w:val="22"/>
          <w:szCs w:val="22"/>
        </w:rPr>
        <w:t xml:space="preserve">H₂ — Reclassification: </w:t>
      </w:r>
      <w:r>
        <w:rPr>
          <w:rFonts w:ascii="Arial" w:cs="Arial" w:eastAsia="Arial" w:hAnsi="Arial"/>
          <w:b w:val="false"/>
          <w:bCs w:val="false"/>
          <w:i w:val="false"/>
          <w:iCs w:val="false"/>
          <w:color w:val="111111"/>
          <w:sz w:val="22"/>
          <w:szCs w:val="22"/>
        </w:rPr>
        <w:t xml:space="preserve">LNR-based stratification reclassifies a clinically meaningful proportion of patients into different risk tiers relative to N-stage classification, and the survival outcomes of reclassified patients are better predicted by their LNR-assigned tier than by their original N-stage tier.</w:t>
      </w:r>
    </w:p>
    <w:p>
      <w:pPr>
        <w:spacing w:before="60" w:after="100" w:line="320"/>
        <w:jc w:val="left"/>
      </w:pPr>
      <w:r>
        <w:rPr>
          <w:rFonts w:ascii="Arial" w:cs="Arial" w:eastAsia="Arial" w:hAnsi="Arial"/>
          <w:b/>
          <w:bCs/>
          <w:i w:val="false"/>
          <w:iCs w:val="false"/>
          <w:color w:val="111111"/>
          <w:sz w:val="22"/>
          <w:szCs w:val="22"/>
        </w:rPr>
        <w:t xml:space="preserve">H₃ — Independent association: </w:t>
      </w:r>
      <w:r>
        <w:rPr>
          <w:rFonts w:ascii="Arial" w:cs="Arial" w:eastAsia="Arial" w:hAnsi="Arial"/>
          <w:b w:val="false"/>
          <w:bCs w:val="false"/>
          <w:i w:val="false"/>
          <w:iCs w:val="false"/>
          <w:color w:val="111111"/>
          <w:sz w:val="22"/>
          <w:szCs w:val="22"/>
        </w:rPr>
        <w:t xml:space="preserve">LNR is independently and significantly associated with overall survival after full multivariable adjustment including TLE, T-stage, grade, lymphovascular invasion, perineural invasion, resection margin, and calendar period (secondary estimand).</w:t>
      </w:r>
    </w:p>
    <w:p>
      <w:pPr>
        <w:spacing w:before="60" w:after="100" w:line="320"/>
        <w:jc w:val="left"/>
      </w:pPr>
      <w:r>
        <w:rPr>
          <w:rFonts w:ascii="Arial" w:cs="Arial" w:eastAsia="Arial" w:hAnsi="Arial"/>
          <w:b/>
          <w:bCs/>
          <w:i w:val="false"/>
          <w:iCs w:val="false"/>
          <w:color w:val="111111"/>
          <w:sz w:val="22"/>
          <w:szCs w:val="22"/>
        </w:rPr>
        <w:t xml:space="preserve">H₄ — Harvest interaction: </w:t>
      </w:r>
      <w:r>
        <w:rPr>
          <w:rFonts w:ascii="Arial" w:cs="Arial" w:eastAsia="Arial" w:hAnsi="Arial"/>
          <w:b w:val="false"/>
          <w:bCs w:val="false"/>
          <w:i w:val="false"/>
          <w:iCs w:val="false"/>
          <w:color w:val="111111"/>
          <w:sz w:val="22"/>
          <w:szCs w:val="22"/>
        </w:rPr>
        <w:t xml:space="preserve">The prognostic advantage of LNR over N-stage is amplified in the subgroup of patients with inadequate lymph node harvest (TLE &lt; 12 nodes), consistent with the mechanistic premise that LNR corrects for harvest-related understaging. Tested via a formal LNR × TLE adequacy interaction term; permitted only at ≥ 200 observed death events.</w:t>
      </w:r>
    </w:p>
    <w:p>
      <w:pPr>
        <w:spacing w:before="0" w:after="0"/>
      </w:pPr>
      <w:r>
        <w:br/>
      </w:r>
    </w:p>
    <w:p>
      <w:pPr>
        <w:pStyle w:val="Heading1"/>
        <w:pBdr>
          <w:bottom w:val="single" w:color="1B3A6B" w:sz="8"/>
        </w:pBdr>
        <w:spacing w:before="360" w:after="160"/>
      </w:pPr>
      <w:r>
        <w:rPr>
          <w:rFonts w:ascii="Arial" w:cs="Arial" w:eastAsia="Arial" w:hAnsi="Arial"/>
          <w:b/>
          <w:bCs/>
          <w:color w:val="1B3A6B"/>
          <w:sz w:val="32"/>
          <w:szCs w:val="32"/>
        </w:rPr>
        <w:t xml:space="preserve">3. Study Objectives</w:t>
      </w:r>
    </w:p>
    <w:p>
      <w:pPr>
        <w:pStyle w:val="Heading2"/>
        <w:spacing w:before="280" w:after="120"/>
      </w:pPr>
      <w:r>
        <w:rPr>
          <w:rFonts w:ascii="Arial" w:cs="Arial" w:eastAsia="Arial" w:hAnsi="Arial"/>
          <w:b/>
          <w:bCs/>
          <w:color w:val="0D6E6E"/>
          <w:sz w:val="26"/>
          <w:szCs w:val="26"/>
        </w:rPr>
        <w:t xml:space="preserve">3.1 General Objective</w:t>
      </w:r>
    </w:p>
    <w:p>
      <w:pPr>
        <w:spacing w:before="60" w:after="100" w:line="320"/>
        <w:jc w:val="left"/>
      </w:pPr>
      <w:r>
        <w:rPr>
          <w:rFonts w:ascii="Arial" w:cs="Arial" w:eastAsia="Arial" w:hAnsi="Arial"/>
          <w:b w:val="false"/>
          <w:bCs w:val="false"/>
          <w:i w:val="false"/>
          <w:iCs w:val="false"/>
          <w:color w:val="111111"/>
          <w:sz w:val="22"/>
          <w:szCs w:val="22"/>
        </w:rPr>
        <w:t xml:space="preserve">To rigorously evaluate whether the lymph node ratio (LNR), modelled continuously with restricted cubic splines and compared with categorical presentation, provides superior prognostic predictive performance for overall survival compared to AJCC 8th edition TNM N-stage classification in a node-positive colorectal cancer cohort from a South Asian tertiary referral institution, with findings positioned to contribute to international staging framework discussions.</w:t>
      </w:r>
    </w:p>
    <w:p>
      <w:pPr>
        <w:pStyle w:val="Heading2"/>
        <w:spacing w:before="280" w:after="120"/>
      </w:pPr>
      <w:r>
        <w:rPr>
          <w:rFonts w:ascii="Arial" w:cs="Arial" w:eastAsia="Arial" w:hAnsi="Arial"/>
          <w:b/>
          <w:bCs/>
          <w:color w:val="0D6E6E"/>
          <w:sz w:val="26"/>
          <w:szCs w:val="26"/>
        </w:rPr>
        <w:t xml:space="preserve">3.2 Specific Objectives</w:t>
      </w:r>
    </w:p>
    <w:p>
      <w:pPr>
        <w:spacing w:before="60" w:after="100" w:line="320"/>
        <w:jc w:val="left"/>
      </w:pPr>
      <w:r>
        <w:rPr>
          <w:rFonts w:ascii="Arial" w:cs="Arial" w:eastAsia="Arial" w:hAnsi="Arial"/>
          <w:b w:val="false"/>
          <w:bCs w:val="false"/>
          <w:i w:val="false"/>
          <w:iCs w:val="false"/>
          <w:color w:val="111111"/>
          <w:sz w:val="22"/>
          <w:szCs w:val="22"/>
        </w:rPr>
        <w:t xml:space="preserve">The following specific objectives are collectively sufficient to achieve the general objective. Each is linked to a pre-specified hypothesis and a defined analytic phase:</w:t>
      </w:r>
    </w:p>
    <w:p>
      <w:pPr>
        <w:spacing w:before="80" w:after="80" w:line="280"/>
        <w:jc w:val="left"/>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2600"/>
        <w:gridCol w:w="2160"/>
      </w:tblGrid>
      <w:tr>
        <w:tc>
          <w:tcPr>
            <w:tcW w:type="dxa" w:w="8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top"/>
          </w:tcPr>
          <w:p>
            <w:pPr>
              <w:spacing w:before="0" w:after="0" w:line="280"/>
              <w:jc w:val="left"/>
            </w:pPr>
            <w:r>
              <w:rPr>
                <w:rFonts w:ascii="Arial" w:cs="Arial" w:eastAsia="Arial" w:hAnsi="Arial"/>
                <w:b/>
                <w:bCs/>
                <w:i w:val="false"/>
                <w:iCs w:val="false"/>
                <w:color w:val="FFFFFF"/>
                <w:sz w:val="21"/>
                <w:szCs w:val="21"/>
              </w:rPr>
              <w:t xml:space="preserve">SO</w:t>
            </w:r>
          </w:p>
        </w:tc>
        <w:tc>
          <w:tcPr>
            <w:tcW w:type="dxa" w:w="38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top"/>
          </w:tcPr>
          <w:p>
            <w:pPr>
              <w:spacing w:before="0" w:after="0" w:line="280"/>
              <w:jc w:val="left"/>
            </w:pPr>
            <w:r>
              <w:rPr>
                <w:rFonts w:ascii="Arial" w:cs="Arial" w:eastAsia="Arial" w:hAnsi="Arial"/>
                <w:b/>
                <w:bCs/>
                <w:i w:val="false"/>
                <w:iCs w:val="false"/>
                <w:color w:val="FFFFFF"/>
                <w:sz w:val="21"/>
                <w:szCs w:val="21"/>
              </w:rPr>
              <w:t xml:space="preserve">Specific Objective</w:t>
            </w:r>
          </w:p>
        </w:tc>
        <w:tc>
          <w:tcPr>
            <w:tcW w:type="dxa" w:w="26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top"/>
          </w:tcPr>
          <w:p>
            <w:pPr>
              <w:spacing w:before="0" w:after="0" w:line="280"/>
              <w:jc w:val="left"/>
            </w:pPr>
            <w:r>
              <w:rPr>
                <w:rFonts w:ascii="Arial" w:cs="Arial" w:eastAsia="Arial" w:hAnsi="Arial"/>
                <w:b/>
                <w:bCs/>
                <w:i w:val="false"/>
                <w:iCs w:val="false"/>
                <w:color w:val="FFFFFF"/>
                <w:sz w:val="21"/>
                <w:szCs w:val="21"/>
              </w:rPr>
              <w:t xml:space="preserve">Linked Hypothesis</w:t>
            </w:r>
          </w:p>
        </w:tc>
        <w:tc>
          <w:tcPr>
            <w:tcW w:type="dxa" w:w="21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top"/>
          </w:tcPr>
          <w:p>
            <w:pPr>
              <w:spacing w:before="0" w:after="0" w:line="280"/>
              <w:jc w:val="left"/>
            </w:pPr>
            <w:r>
              <w:rPr>
                <w:rFonts w:ascii="Arial" w:cs="Arial" w:eastAsia="Arial" w:hAnsi="Arial"/>
                <w:b/>
                <w:bCs/>
                <w:i w:val="false"/>
                <w:iCs w:val="false"/>
                <w:color w:val="FFFFFF"/>
                <w:sz w:val="21"/>
                <w:szCs w:val="21"/>
              </w:rPr>
              <w:t xml:space="preserve">Analytic Phase</w:t>
            </w:r>
          </w:p>
        </w:tc>
      </w:tr>
      <w:tr>
        <w:tc>
          <w:tcPr>
            <w:tcW w:type="dxa" w:w="800"/>
            <w:tcBorders>
              <w:top w:val="single" w:color="D6DBE4" w:sz="4"/>
              <w:left w:val="single" w:color="D6DBE4" w:sz="4"/>
              <w:bottom w:val="single" w:color="D6DBE4" w:sz="4"/>
              <w:right w:val="single" w:color="D6DBE4" w:sz="4"/>
            </w:tcBorders>
            <w:shd w:fill="F2F4F7"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SO1</w:t>
            </w:r>
          </w:p>
        </w:tc>
        <w:tc>
          <w:tcPr>
            <w:tcW w:type="dxa" w:w="3800"/>
            <w:tcBorders>
              <w:top w:val="single" w:color="D6DBE4" w:sz="4"/>
              <w:left w:val="single" w:color="D6DBE4" w:sz="4"/>
              <w:bottom w:val="single" w:color="D6DBE4" w:sz="4"/>
              <w:right w:val="single" w:color="D6DBE4" w:sz="4"/>
            </w:tcBorders>
            <w:shd w:fill="F2F4F7"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Validate LNR cutpoints from the literature (0.05/0.20 thresholds) in this cohort via survival analysis, and characterise the continuous LNR–mortality dose-response relationship using restricted cubic splines</w:t>
            </w:r>
          </w:p>
        </w:tc>
        <w:tc>
          <w:tcPr>
            <w:tcW w:type="dxa" w:w="2600"/>
            <w:tcBorders>
              <w:top w:val="single" w:color="D6DBE4" w:sz="4"/>
              <w:left w:val="single" w:color="D6DBE4" w:sz="4"/>
              <w:bottom w:val="single" w:color="D6DBE4" w:sz="4"/>
              <w:right w:val="single" w:color="D6DBE4" w:sz="4"/>
            </w:tcBorders>
            <w:shd w:fill="F2F4F7"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Foundational (enables SO2)</w:t>
            </w:r>
          </w:p>
        </w:tc>
        <w:tc>
          <w:tcPr>
            <w:tcW w:type="dxa" w:w="2160"/>
            <w:tcBorders>
              <w:top w:val="single" w:color="D6DBE4" w:sz="4"/>
              <w:left w:val="single" w:color="D6DBE4" w:sz="4"/>
              <w:bottom w:val="single" w:color="D6DBE4" w:sz="4"/>
              <w:right w:val="single" w:color="D6DBE4" w:sz="4"/>
            </w:tcBorders>
            <w:shd w:fill="F2F4F7"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Phase 2</w:t>
            </w:r>
          </w:p>
        </w:tc>
      </w:tr>
      <w:tr>
        <w:tc>
          <w:tcPr>
            <w:tcW w:type="dxa" w:w="800"/>
            <w:tcBorders>
              <w:top w:val="single" w:color="D6DBE4" w:sz="4"/>
              <w:left w:val="single" w:color="D6DBE4" w:sz="4"/>
              <w:bottom w:val="single" w:color="D6DBE4" w:sz="4"/>
              <w:right w:val="single" w:color="D6DBE4" w:sz="4"/>
            </w:tcBorders>
            <w:shd w:fill="FFFFFF"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SO2</w:t>
            </w:r>
          </w:p>
        </w:tc>
        <w:tc>
          <w:tcPr>
            <w:tcW w:type="dxa" w:w="3800"/>
            <w:tcBorders>
              <w:top w:val="single" w:color="D6DBE4" w:sz="4"/>
              <w:left w:val="single" w:color="D6DBE4" w:sz="4"/>
              <w:bottom w:val="single" w:color="D6DBE4" w:sz="4"/>
              <w:right w:val="single" w:color="D6DBE4" w:sz="4"/>
            </w:tcBorders>
            <w:shd w:fill="FFFFFF"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Compare incremental predictive performance of LNR versus N-stage for overall survival using Uno's C-statistic and decision-curve analysis across three model layers (unadjusted, TLE-adjusted, full MVA), with bootstrap optimism correction</w:t>
            </w:r>
          </w:p>
        </w:tc>
        <w:tc>
          <w:tcPr>
            <w:tcW w:type="dxa" w:w="2600"/>
            <w:tcBorders>
              <w:top w:val="single" w:color="D6DBE4" w:sz="4"/>
              <w:left w:val="single" w:color="D6DBE4" w:sz="4"/>
              <w:bottom w:val="single" w:color="D6DBE4" w:sz="4"/>
              <w:right w:val="single" w:color="D6DBE4" w:sz="4"/>
            </w:tcBorders>
            <w:shd w:fill="FFFFFF"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H₁ (primary)</w:t>
            </w:r>
          </w:p>
        </w:tc>
        <w:tc>
          <w:tcPr>
            <w:tcW w:type="dxa" w:w="2160"/>
            <w:tcBorders>
              <w:top w:val="single" w:color="D6DBE4" w:sz="4"/>
              <w:left w:val="single" w:color="D6DBE4" w:sz="4"/>
              <w:bottom w:val="single" w:color="D6DBE4" w:sz="4"/>
              <w:right w:val="single" w:color="D6DBE4" w:sz="4"/>
            </w:tcBorders>
            <w:shd w:fill="FFFFFF"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Phase 3</w:t>
            </w:r>
          </w:p>
        </w:tc>
      </w:tr>
      <w:tr>
        <w:tc>
          <w:tcPr>
            <w:tcW w:type="dxa" w:w="800"/>
            <w:tcBorders>
              <w:top w:val="single" w:color="D6DBE4" w:sz="4"/>
              <w:left w:val="single" w:color="D6DBE4" w:sz="4"/>
              <w:bottom w:val="single" w:color="D6DBE4" w:sz="4"/>
              <w:right w:val="single" w:color="D6DBE4" w:sz="4"/>
            </w:tcBorders>
            <w:shd w:fill="F2F4F7"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SO3</w:t>
            </w:r>
          </w:p>
        </w:tc>
        <w:tc>
          <w:tcPr>
            <w:tcW w:type="dxa" w:w="3800"/>
            <w:tcBorders>
              <w:top w:val="single" w:color="D6DBE4" w:sz="4"/>
              <w:left w:val="single" w:color="D6DBE4" w:sz="4"/>
              <w:bottom w:val="single" w:color="D6DBE4" w:sz="4"/>
              <w:right w:val="single" w:color="D6DBE4" w:sz="4"/>
            </w:tcBorders>
            <w:shd w:fill="F2F4F7"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Determine whether LNR retains independent prognostic association with overall survival in a full multivariable Cox model adjusting for T-stage, tumour grade, LVI, PNI, resection margin, TLE, calendar period, and tumour site</w:t>
            </w:r>
          </w:p>
        </w:tc>
        <w:tc>
          <w:tcPr>
            <w:tcW w:type="dxa" w:w="2600"/>
            <w:tcBorders>
              <w:top w:val="single" w:color="D6DBE4" w:sz="4"/>
              <w:left w:val="single" w:color="D6DBE4" w:sz="4"/>
              <w:bottom w:val="single" w:color="D6DBE4" w:sz="4"/>
              <w:right w:val="single" w:color="D6DBE4" w:sz="4"/>
            </w:tcBorders>
            <w:shd w:fill="F2F4F7"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H₃ (secondary)</w:t>
            </w:r>
          </w:p>
        </w:tc>
        <w:tc>
          <w:tcPr>
            <w:tcW w:type="dxa" w:w="2160"/>
            <w:tcBorders>
              <w:top w:val="single" w:color="D6DBE4" w:sz="4"/>
              <w:left w:val="single" w:color="D6DBE4" w:sz="4"/>
              <w:bottom w:val="single" w:color="D6DBE4" w:sz="4"/>
              <w:right w:val="single" w:color="D6DBE4" w:sz="4"/>
            </w:tcBorders>
            <w:shd w:fill="F2F4F7"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Phase 3</w:t>
            </w:r>
          </w:p>
        </w:tc>
      </w:tr>
      <w:tr>
        <w:tc>
          <w:tcPr>
            <w:tcW w:type="dxa" w:w="800"/>
            <w:tcBorders>
              <w:top w:val="single" w:color="D6DBE4" w:sz="4"/>
              <w:left w:val="single" w:color="D6DBE4" w:sz="4"/>
              <w:bottom w:val="single" w:color="D6DBE4" w:sz="4"/>
              <w:right w:val="single" w:color="D6DBE4" w:sz="4"/>
            </w:tcBorders>
            <w:shd w:fill="FFFFFF"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SO4</w:t>
            </w:r>
          </w:p>
        </w:tc>
        <w:tc>
          <w:tcPr>
            <w:tcW w:type="dxa" w:w="3800"/>
            <w:tcBorders>
              <w:top w:val="single" w:color="D6DBE4" w:sz="4"/>
              <w:left w:val="single" w:color="D6DBE4" w:sz="4"/>
              <w:bottom w:val="single" w:color="D6DBE4" w:sz="4"/>
              <w:right w:val="single" w:color="D6DBE4" w:sz="4"/>
            </w:tcBorders>
            <w:shd w:fill="FFFFFF"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Quantify patient-level reclassification between N-stage and LNR risk tiers, and confirm that reclassified patients' survival matches their LNR-assigned tier better than their N-stage tier</w:t>
            </w:r>
          </w:p>
        </w:tc>
        <w:tc>
          <w:tcPr>
            <w:tcW w:type="dxa" w:w="2600"/>
            <w:tcBorders>
              <w:top w:val="single" w:color="D6DBE4" w:sz="4"/>
              <w:left w:val="single" w:color="D6DBE4" w:sz="4"/>
              <w:bottom w:val="single" w:color="D6DBE4" w:sz="4"/>
              <w:right w:val="single" w:color="D6DBE4" w:sz="4"/>
            </w:tcBorders>
            <w:shd w:fill="FFFFFF"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H₂ (secondary)</w:t>
            </w:r>
          </w:p>
        </w:tc>
        <w:tc>
          <w:tcPr>
            <w:tcW w:type="dxa" w:w="2160"/>
            <w:tcBorders>
              <w:top w:val="single" w:color="D6DBE4" w:sz="4"/>
              <w:left w:val="single" w:color="D6DBE4" w:sz="4"/>
              <w:bottom w:val="single" w:color="D6DBE4" w:sz="4"/>
              <w:right w:val="single" w:color="D6DBE4" w:sz="4"/>
            </w:tcBorders>
            <w:shd w:fill="FFFFFF"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Phase 4</w:t>
            </w:r>
          </w:p>
        </w:tc>
      </w:tr>
      <w:tr>
        <w:tc>
          <w:tcPr>
            <w:tcW w:type="dxa" w:w="800"/>
            <w:tcBorders>
              <w:top w:val="single" w:color="D6DBE4" w:sz="4"/>
              <w:left w:val="single" w:color="D6DBE4" w:sz="4"/>
              <w:bottom w:val="single" w:color="D6DBE4" w:sz="4"/>
              <w:right w:val="single" w:color="D6DBE4" w:sz="4"/>
            </w:tcBorders>
            <w:shd w:fill="F2F4F7"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SO5</w:t>
            </w:r>
          </w:p>
        </w:tc>
        <w:tc>
          <w:tcPr>
            <w:tcW w:type="dxa" w:w="3800"/>
            <w:tcBorders>
              <w:top w:val="single" w:color="D6DBE4" w:sz="4"/>
              <w:left w:val="single" w:color="D6DBE4" w:sz="4"/>
              <w:bottom w:val="single" w:color="D6DBE4" w:sz="4"/>
              <w:right w:val="single" w:color="D6DBE4" w:sz="4"/>
            </w:tcBorders>
            <w:shd w:fill="F2F4F7"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Evaluate the interaction between LNR advantage and TLE adequacy (&lt; 12 vs ≥ 12 nodes), testing whether LNR's improvement over N-stage is specifically amplified in the sub-optimal harvest subgroup</w:t>
            </w:r>
          </w:p>
        </w:tc>
        <w:tc>
          <w:tcPr>
            <w:tcW w:type="dxa" w:w="2600"/>
            <w:tcBorders>
              <w:top w:val="single" w:color="D6DBE4" w:sz="4"/>
              <w:left w:val="single" w:color="D6DBE4" w:sz="4"/>
              <w:bottom w:val="single" w:color="D6DBE4" w:sz="4"/>
              <w:right w:val="single" w:color="D6DBE4" w:sz="4"/>
            </w:tcBorders>
            <w:shd w:fill="F2F4F7"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H₄ (conditional)</w:t>
            </w:r>
          </w:p>
        </w:tc>
        <w:tc>
          <w:tcPr>
            <w:tcW w:type="dxa" w:w="2160"/>
            <w:tcBorders>
              <w:top w:val="single" w:color="D6DBE4" w:sz="4"/>
              <w:left w:val="single" w:color="D6DBE4" w:sz="4"/>
              <w:bottom w:val="single" w:color="D6DBE4" w:sz="4"/>
              <w:right w:val="single" w:color="D6DBE4" w:sz="4"/>
            </w:tcBorders>
            <w:shd w:fill="F2F4F7"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Phase 5</w:t>
            </w:r>
          </w:p>
        </w:tc>
      </w:tr>
      <w:tr>
        <w:tc>
          <w:tcPr>
            <w:tcW w:type="dxa" w:w="800"/>
            <w:tcBorders>
              <w:top w:val="single" w:color="D6DBE4" w:sz="4"/>
              <w:left w:val="single" w:color="D6DBE4" w:sz="4"/>
              <w:bottom w:val="single" w:color="D6DBE4" w:sz="4"/>
              <w:right w:val="single" w:color="D6DBE4" w:sz="4"/>
            </w:tcBorders>
            <w:shd w:fill="FFFFFF"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SO6</w:t>
            </w:r>
          </w:p>
        </w:tc>
        <w:tc>
          <w:tcPr>
            <w:tcW w:type="dxa" w:w="3800"/>
            <w:tcBorders>
              <w:top w:val="single" w:color="D6DBE4" w:sz="4"/>
              <w:left w:val="single" w:color="D6DBE4" w:sz="4"/>
              <w:bottom w:val="single" w:color="D6DBE4" w:sz="4"/>
              <w:right w:val="single" w:color="D6DBE4" w:sz="4"/>
            </w:tcBorders>
            <w:shd w:fill="FFFFFF"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Characterise the distribution of TLE and proportion of sub-optimal harvest (TLE &lt; 12) in this South Asian cohort, including temporal trend by calendar period, providing reference data for international staging discussions</w:t>
            </w:r>
          </w:p>
        </w:tc>
        <w:tc>
          <w:tcPr>
            <w:tcW w:type="dxa" w:w="2600"/>
            <w:tcBorders>
              <w:top w:val="single" w:color="D6DBE4" w:sz="4"/>
              <w:left w:val="single" w:color="D6DBE4" w:sz="4"/>
              <w:bottom w:val="single" w:color="D6DBE4" w:sz="4"/>
              <w:right w:val="single" w:color="D6DBE4" w:sz="4"/>
            </w:tcBorders>
            <w:shd w:fill="FFFFFF"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Translational</w:t>
            </w:r>
          </w:p>
        </w:tc>
        <w:tc>
          <w:tcPr>
            <w:tcW w:type="dxa" w:w="2160"/>
            <w:tcBorders>
              <w:top w:val="single" w:color="D6DBE4" w:sz="4"/>
              <w:left w:val="single" w:color="D6DBE4" w:sz="4"/>
              <w:bottom w:val="single" w:color="D6DBE4" w:sz="4"/>
              <w:right w:val="single" w:color="D6DBE4" w:sz="4"/>
            </w:tcBorders>
            <w:shd w:fill="FFFFFF"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Phase 1 &amp; 5</w:t>
            </w:r>
          </w:p>
        </w:tc>
      </w:tr>
    </w:tbl>
    <w:p>
      <w:pPr>
        <w:spacing w:before="80" w:after="80" w:line="280"/>
        <w:jc w:val="left"/>
      </w:pPr>
      <w:r>
        <w:rPr>
          <w:rFonts w:ascii="Arial" w:cs="Arial" w:eastAsia="Arial" w:hAnsi="Arial"/>
          <w:b w:val="false"/>
          <w:bCs w:val="false"/>
          <w:i w:val="false"/>
          <w:iCs w:val="false"/>
          <w:color w:val="111111"/>
          <w:sz w:val="22"/>
          <w:szCs w:val="22"/>
        </w:rPr>
        <w:t xml:space="preserve"/>
      </w:r>
    </w:p>
    <w:p>
      <w:pPr>
        <w:spacing w:before="60" w:after="100" w:line="320"/>
        <w:jc w:val="left"/>
      </w:pPr>
      <w:r>
        <w:rPr>
          <w:rFonts w:ascii="Arial" w:cs="Arial" w:eastAsia="Arial" w:hAnsi="Arial"/>
          <w:b w:val="false"/>
          <w:bCs w:val="false"/>
          <w:i w:val="false"/>
          <w:iCs w:val="false"/>
          <w:color w:val="6B7280"/>
          <w:sz w:val="22"/>
          <w:szCs w:val="22"/>
        </w:rPr>
        <w:t xml:space="preserve">LVI = lymphovascular invasion; PNI = perineural invasion; TLE = total lymph nodes examined; MVA = multivariable analysis; SO = specific objective.</w:t>
      </w:r>
    </w:p>
    <w:p>
      <w:pPr>
        <w:spacing w:before="0" w:after="0"/>
      </w:pPr>
      <w:r>
        <w:br/>
      </w:r>
    </w:p>
    <w:p>
      <w:pPr>
        <w:pStyle w:val="Heading1"/>
        <w:pBdr>
          <w:bottom w:val="single" w:color="1B3A6B" w:sz="8"/>
        </w:pBdr>
        <w:spacing w:before="360" w:after="160"/>
      </w:pPr>
      <w:r>
        <w:rPr>
          <w:rFonts w:ascii="Arial" w:cs="Arial" w:eastAsia="Arial" w:hAnsi="Arial"/>
          <w:b/>
          <w:bCs/>
          <w:color w:val="1B3A6B"/>
          <w:sz w:val="32"/>
          <w:szCs w:val="32"/>
        </w:rPr>
        <w:t xml:space="preserve">4. Study Design</w:t>
      </w:r>
    </w:p>
    <w:p>
      <w:pPr>
        <w:pStyle w:val="Heading2"/>
        <w:spacing w:before="280" w:after="120"/>
      </w:pPr>
      <w:r>
        <w:rPr>
          <w:rFonts w:ascii="Arial" w:cs="Arial" w:eastAsia="Arial" w:hAnsi="Arial"/>
          <w:b/>
          <w:bCs/>
          <w:color w:val="0D6E6E"/>
          <w:sz w:val="26"/>
          <w:szCs w:val="26"/>
        </w:rPr>
        <w:t xml:space="preserve">4.1 Design Overview</w:t>
      </w:r>
    </w:p>
    <w:p>
      <w:pPr>
        <w:spacing w:before="60" w:after="100" w:line="320"/>
        <w:jc w:val="left"/>
      </w:pPr>
      <w:r>
        <w:rPr>
          <w:rFonts w:ascii="Arial" w:cs="Arial" w:eastAsia="Arial" w:hAnsi="Arial"/>
          <w:b w:val="false"/>
          <w:bCs w:val="false"/>
          <w:i w:val="false"/>
          <w:iCs w:val="false"/>
          <w:color w:val="111111"/>
          <w:sz w:val="22"/>
          <w:szCs w:val="22"/>
        </w:rPr>
        <w:t xml:space="preserve">Retrospective cohort study using prospectively maintained institutional surgical oncology and histopathology records. The retrospective design is appropriate because the primary exposure (LNR, computed from routine histopathological data) and outcomes (survival, recurrence) are already captured in existing clinical records, and a prospective design would require a prohibitive follow-up duration without providing analytical advantages for the study question.</w:t>
      </w:r>
    </w:p>
    <w:p>
      <w:pPr>
        <w:pStyle w:val="Heading2"/>
        <w:spacing w:before="280" w:after="120"/>
      </w:pPr>
      <w:r>
        <w:rPr>
          <w:rFonts w:ascii="Arial" w:cs="Arial" w:eastAsia="Arial" w:hAnsi="Arial"/>
          <w:b/>
          <w:bCs/>
          <w:color w:val="0D6E6E"/>
          <w:sz w:val="26"/>
          <w:szCs w:val="26"/>
        </w:rPr>
        <w:t xml:space="preserve">4.2 Setting</w:t>
      </w:r>
    </w:p>
    <w:p>
      <w:pPr>
        <w:spacing w:before="60" w:after="100" w:line="320"/>
        <w:jc w:val="left"/>
      </w:pPr>
      <w:r>
        <w:rPr>
          <w:rFonts w:ascii="Arial" w:cs="Arial" w:eastAsia="Arial" w:hAnsi="Arial"/>
          <w:b w:val="false"/>
          <w:bCs w:val="false"/>
          <w:i w:val="false"/>
          <w:iCs w:val="false"/>
          <w:color w:val="111111"/>
          <w:sz w:val="22"/>
          <w:szCs w:val="22"/>
        </w:rPr>
        <w:t xml:space="preserve">Tertiary referral centre(s) with dedicated colorectal surgical oncology services in Sri Lanka. Multi-site recruitment is encouraged and should be pursued actively if single-site data yields fewer than 130 death events (the minimum for the full analytic model). If ≥ 4 sites participate, a shared-frailty Cox model with centre as the random effect is specified as the primary modelling approach. If ≤ 3 sites, fixed centre effects are included in all multivariable models.</w:t>
      </w:r>
    </w:p>
    <w:p>
      <w:pPr>
        <w:pStyle w:val="Heading2"/>
        <w:spacing w:before="280" w:after="120"/>
      </w:pPr>
      <w:r>
        <w:rPr>
          <w:rFonts w:ascii="Arial" w:cs="Arial" w:eastAsia="Arial" w:hAnsi="Arial"/>
          <w:b/>
          <w:bCs/>
          <w:color w:val="0D6E6E"/>
          <w:sz w:val="26"/>
          <w:szCs w:val="26"/>
        </w:rPr>
        <w:t xml:space="preserve">4.3 Case Accrual Period</w:t>
      </w:r>
    </w:p>
    <w:p>
      <w:pPr>
        <w:spacing w:before="60" w:after="100" w:line="320"/>
        <w:jc w:val="left"/>
      </w:pPr>
      <w:r>
        <w:rPr>
          <w:rFonts w:ascii="Arial" w:cs="Arial" w:eastAsia="Arial" w:hAnsi="Arial"/>
          <w:b w:val="false"/>
          <w:bCs w:val="false"/>
          <w:i w:val="false"/>
          <w:iCs w:val="false"/>
          <w:color w:val="111111"/>
          <w:sz w:val="22"/>
          <w:szCs w:val="22"/>
        </w:rPr>
        <w:t xml:space="preserve">A 10–15 year case accrual window (indicative dates 2008–2022) with a minimum of 24 months of follow-up from index surgery for each patient. The accrual window spans major changes in pathological practice, surgical technique, and chemotherapy regimens; calendar period of surgery is therefore included as a covariate in all multivariable models (restricted cubic spline, 3 knots), as a pre-specified confound, not as an afterthought.</w:t>
      </w:r>
    </w:p>
    <w:p>
      <w:pPr>
        <w:pStyle w:val="Heading2"/>
        <w:spacing w:before="280" w:after="120"/>
      </w:pPr>
      <w:r>
        <w:rPr>
          <w:rFonts w:ascii="Arial" w:cs="Arial" w:eastAsia="Arial" w:hAnsi="Arial"/>
          <w:b/>
          <w:bCs/>
          <w:color w:val="0D6E6E"/>
          <w:sz w:val="26"/>
          <w:szCs w:val="26"/>
        </w:rPr>
        <w:t xml:space="preserve">4.4 Eligibility Criteria</w:t>
      </w:r>
    </w:p>
    <w:p>
      <w:pPr>
        <w:pStyle w:val="Heading3"/>
        <w:spacing w:before="200" w:after="80"/>
      </w:pPr>
      <w:r>
        <w:rPr>
          <w:rFonts w:ascii="Arial" w:cs="Arial" w:eastAsia="Arial" w:hAnsi="Arial"/>
          <w:b/>
          <w:bCs/>
          <w:color w:val="4A4A4A"/>
          <w:sz w:val="23"/>
          <w:szCs w:val="23"/>
        </w:rPr>
        <w:t xml:space="preserve">Inclusion criteria</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Histologically confirmed colorectal adenocarcinoma (including mucinous and signet-ring cell subtypes)</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Node-positive disease: one or more tumour-positive lymph nodes on final histopathological examination (pN1a, pN1b, pN1c, pN2a, or pN2b by AJCC 8th edition)</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Curative-intent surgical resection (R0 or R1; R2 resections excluded)</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Age 18 years or older at time of surgery</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Sufficient records to compute LNR: both the number of positive lymph nodes and the total number of lymph nodes examined documented in the histopathology report</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Minimum one valid post-operative contact or death record enabling survival time computation</w:t>
      </w:r>
    </w:p>
    <w:p>
      <w:pPr>
        <w:pStyle w:val="Heading3"/>
        <w:spacing w:before="200" w:after="80"/>
      </w:pPr>
      <w:r>
        <w:rPr>
          <w:rFonts w:ascii="Arial" w:cs="Arial" w:eastAsia="Arial" w:hAnsi="Arial"/>
          <w:b/>
          <w:bCs/>
          <w:color w:val="4A4A4A"/>
          <w:sz w:val="23"/>
          <w:szCs w:val="23"/>
        </w:rPr>
        <w:t xml:space="preserve">Exclusion criteria</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Synchronous distant metastases at time of resection (pM1 disease) — these patients have a fundamentally different prognostic trajectory and staging question</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Prior colorectal malignancy (primary or metastatic) — alters lymph node biology and treatment decisions</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Hereditary CRC syndromes with atypical lymph node biology: Lynch syndrome, familial adenomatous polyposis (FAP), MUTYH-associated polyposis — lymph node yield and biological behaviour differ systematically</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Palliative-intent resections — patients not intended for cure are outside the staging question</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Emergency resections for obstruction or perforation without curative intent</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Confirmed data-entry error rendering the record uninterpretable (e.g. positive nodes exceeding total nodes examined)</w:t>
      </w:r>
    </w:p>
    <w:p>
      <w:pPr>
        <w:pStyle w:val="Heading3"/>
        <w:spacing w:before="200" w:after="80"/>
      </w:pPr>
      <w:r>
        <w:rPr>
          <w:rFonts w:ascii="Arial" w:cs="Arial" w:eastAsia="Arial" w:hAnsi="Arial"/>
          <w:b/>
          <w:bCs/>
          <w:color w:val="4A4A4A"/>
          <w:sz w:val="23"/>
          <w:szCs w:val="23"/>
        </w:rPr>
        <w:t xml:space="preserve">Revised retention rule for follow-up (critical revision — critique point 9)</w:t>
      </w:r>
    </w:p>
    <w:p>
      <w:pPr>
        <w:spacing w:before="60" w:after="100" w:line="320"/>
        <w:jc w:val="left"/>
      </w:pPr>
      <w:r>
        <w:rPr>
          <w:rFonts w:ascii="Arial" w:cs="Arial" w:eastAsia="Arial" w:hAnsi="Arial"/>
          <w:b w:val="false"/>
          <w:bCs w:val="false"/>
          <w:i w:val="false"/>
          <w:iCs w:val="false"/>
          <w:color w:val="111111"/>
          <w:sz w:val="22"/>
          <w:szCs w:val="22"/>
        </w:rPr>
        <w:t xml:space="preserve">Patients with a valid last-contact date of fewer than 12 months post-surgery and no death recorded are retained in the dataset and censored at their last contact date. They are not excluded. Exclusion of short-follow-up survivors would systematically remove patients who are most likely to be lost due to socioeconomic factors, performance status, or geographic distance — all prognostically relevant characteristics — creating non-random selection bias. Early attrition in a South Asian cancer cohort is informative, not ignorable.</w:t>
      </w:r>
    </w:p>
    <w:p>
      <w:pPr>
        <w:pStyle w:val="Heading3"/>
        <w:spacing w:before="200" w:after="80"/>
      </w:pPr>
      <w:r>
        <w:rPr>
          <w:rFonts w:ascii="Arial" w:cs="Arial" w:eastAsia="Arial" w:hAnsi="Arial"/>
          <w:b/>
          <w:bCs/>
          <w:color w:val="4A4A4A"/>
          <w:sz w:val="23"/>
          <w:szCs w:val="23"/>
        </w:rPr>
        <w:t xml:space="preserve">Handling of missing TLE (critical revision — critique point 9)</w:t>
      </w:r>
    </w:p>
    <w:p>
      <w:pPr>
        <w:spacing w:before="60" w:after="100" w:line="320"/>
        <w:jc w:val="left"/>
      </w:pPr>
      <w:r>
        <w:rPr>
          <w:rFonts w:ascii="Arial" w:cs="Arial" w:eastAsia="Arial" w:hAnsi="Arial"/>
          <w:b w:val="false"/>
          <w:bCs w:val="false"/>
          <w:i w:val="false"/>
          <w:iCs w:val="false"/>
          <w:color w:val="111111"/>
          <w:sz w:val="22"/>
          <w:szCs w:val="22"/>
        </w:rPr>
        <w:t xml:space="preserve">Patients with no TLE recorded in histopathology reports cannot contribute to LNR computation and are therefore excluded from LNR-containing analytic models. However, they are retained in the dataset and characterised descriptively (N-stage distribution, tumour grade, follow-up duration, outcomes). A formal comparison of the TLE-missing subgroup versus TLE-available patients is conducted as a pre-specified sensitivity analysis to quantify the potential selection bias introduced. These patients are included in the N-stage-only models (Layer 1, Model A).</w:t>
      </w:r>
    </w:p>
    <w:p>
      <w:pPr>
        <w:pStyle w:val="Heading3"/>
        <w:spacing w:before="200" w:after="80"/>
      </w:pPr>
      <w:r>
        <w:rPr>
          <w:rFonts w:ascii="Arial" w:cs="Arial" w:eastAsia="Arial" w:hAnsi="Arial"/>
          <w:b/>
          <w:bCs/>
          <w:color w:val="4A4A4A"/>
          <w:sz w:val="23"/>
          <w:szCs w:val="23"/>
        </w:rPr>
        <w:t xml:space="preserve">Patient flow diagram</w:t>
      </w:r>
    </w:p>
    <w:p>
      <w:pPr>
        <w:spacing w:before="60" w:after="100" w:line="320"/>
        <w:jc w:val="left"/>
      </w:pPr>
      <w:r>
        <w:rPr>
          <w:rFonts w:ascii="Arial" w:cs="Arial" w:eastAsia="Arial" w:hAnsi="Arial"/>
          <w:b w:val="false"/>
          <w:bCs w:val="false"/>
          <w:i w:val="false"/>
          <w:iCs w:val="false"/>
          <w:color w:val="111111"/>
          <w:sz w:val="22"/>
          <w:szCs w:val="22"/>
        </w:rPr>
        <w:t xml:space="preserve">A CONSORT-style patient flow diagram documenting the starting registry count, each sequential exclusion criterion applied, numbers lost at each step, and the final analytic cohort for each model layer is a mandatory primary reporting element. This makes the selection process transparent and fully auditable.</w:t>
      </w:r>
    </w:p>
    <w:p>
      <w:pPr>
        <w:spacing w:before="0" w:after="0"/>
      </w:pPr>
      <w:r>
        <w:br/>
      </w:r>
    </w:p>
    <w:p>
      <w:pPr>
        <w:pStyle w:val="Heading1"/>
        <w:pBdr>
          <w:bottom w:val="single" w:color="1B3A6B" w:sz="8"/>
        </w:pBdr>
        <w:spacing w:before="360" w:after="160"/>
      </w:pPr>
      <w:r>
        <w:rPr>
          <w:rFonts w:ascii="Arial" w:cs="Arial" w:eastAsia="Arial" w:hAnsi="Arial"/>
          <w:b/>
          <w:bCs/>
          <w:color w:val="1B3A6B"/>
          <w:sz w:val="32"/>
          <w:szCs w:val="32"/>
        </w:rPr>
        <w:t xml:space="preserve">5. Exposure and Outcome Specification</w:t>
      </w:r>
    </w:p>
    <w:p>
      <w:pPr>
        <w:pStyle w:val="Heading2"/>
        <w:spacing w:before="280" w:after="120"/>
      </w:pPr>
      <w:r>
        <w:rPr>
          <w:rFonts w:ascii="Arial" w:cs="Arial" w:eastAsia="Arial" w:hAnsi="Arial"/>
          <w:b/>
          <w:bCs/>
          <w:color w:val="0D6E6E"/>
          <w:sz w:val="26"/>
          <w:szCs w:val="26"/>
        </w:rPr>
        <w:t xml:space="preserve">5.1 Primary Exposure: LNR Specification (Critical Revision — Critique Point 2)</w:t>
      </w:r>
    </w:p>
    <w:p>
      <w:pPr>
        <w:pStyle w:val="Heading3"/>
        <w:spacing w:before="200" w:after="80"/>
      </w:pPr>
      <w:r>
        <w:rPr>
          <w:rFonts w:ascii="Arial" w:cs="Arial" w:eastAsia="Arial" w:hAnsi="Arial"/>
          <w:b/>
          <w:bCs/>
          <w:color w:val="4A4A4A"/>
          <w:sz w:val="23"/>
          <w:szCs w:val="23"/>
        </w:rPr>
        <w:t xml:space="preserve">5.1.1 Primary analytic form — continuous with restricted cubic splines</w:t>
      </w:r>
    </w:p>
    <w:p>
      <w:pPr>
        <w:spacing w:before="60" w:after="100" w:line="320"/>
        <w:jc w:val="left"/>
      </w:pPr>
      <w:r>
        <w:rPr>
          <w:rFonts w:ascii="Arial" w:cs="Arial" w:eastAsia="Arial" w:hAnsi="Arial"/>
          <w:b w:val="false"/>
          <w:bCs w:val="false"/>
          <w:i w:val="false"/>
          <w:iCs w:val="false"/>
          <w:color w:val="111111"/>
          <w:sz w:val="22"/>
          <w:szCs w:val="22"/>
        </w:rPr>
        <w:t xml:space="preserve">The primary analytic form of LNR is continuous, modelled using restricted cubic splines (RCS) with 3 knots placed at the 10th, 50th, and 90th percentiles of the observed LNR distribution in this cohort. This approach preserves the full prognostic signal, allows detection of non-linearity in the LNR–mortality relationship, and produces a dose-response curve that is intrinsically more informative and persuasive to staging reviewers than contrast estimates from arbitrary categories.</w:t>
      </w:r>
    </w:p>
    <w:p>
      <w:pPr>
        <w:spacing w:before="60" w:after="100" w:line="320"/>
        <w:jc w:val="left"/>
      </w:pPr>
      <w:r>
        <w:rPr>
          <w:rFonts w:ascii="Arial" w:cs="Arial" w:eastAsia="Arial" w:hAnsi="Arial"/>
          <w:b w:val="false"/>
          <w:bCs w:val="false"/>
          <w:i w:val="false"/>
          <w:iCs w:val="false"/>
          <w:color w:val="111111"/>
          <w:sz w:val="22"/>
          <w:szCs w:val="22"/>
        </w:rPr>
        <w:t xml:space="preserve">The RCS-modelled continuous LNR is the basis for all primary model comparisons (Layers 1–3), primary C-statistic computations, and primary decision-curve analysis. An association plot (log hazard ratio as a function of LNR, continuous, with 95% confidence bands) is produced for the primary publication.</w:t>
      </w:r>
    </w:p>
    <w:p>
      <w:pPr>
        <w:pStyle w:val="Heading3"/>
        <w:spacing w:before="200" w:after="80"/>
      </w:pPr>
      <w:r>
        <w:rPr>
          <w:rFonts w:ascii="Arial" w:cs="Arial" w:eastAsia="Arial" w:hAnsi="Arial"/>
          <w:b/>
          <w:bCs/>
          <w:color w:val="4A4A4A"/>
          <w:sz w:val="23"/>
          <w:szCs w:val="23"/>
        </w:rPr>
        <w:t xml:space="preserve">5.1.2 Secondary analytic form — categorical tiers</w:t>
      </w:r>
    </w:p>
    <w:p>
      <w:pPr>
        <w:spacing w:before="60" w:after="100" w:line="320"/>
        <w:jc w:val="left"/>
      </w:pPr>
      <w:r>
        <w:rPr>
          <w:rFonts w:ascii="Arial" w:cs="Arial" w:eastAsia="Arial" w:hAnsi="Arial"/>
          <w:b w:val="false"/>
          <w:bCs w:val="false"/>
          <w:i w:val="false"/>
          <w:iCs w:val="false"/>
          <w:color w:val="111111"/>
          <w:sz w:val="22"/>
          <w:szCs w:val="22"/>
        </w:rPr>
        <w:t xml:space="preserve">Pre-specified categorical LNR tiers derived from the Rosenberg (2008) classification are used as a secondary presentation layer for clinical communication, comparison with published literature, and Kaplan-Meier curve visualisation:</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Low LNR: &lt; 0.05</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Intermediate LNR: 0.05 to 0.20</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High LNR: &gt; 0.20</w:t>
      </w:r>
    </w:p>
    <w:p>
      <w:pPr>
        <w:spacing w:before="60" w:after="100" w:line="320"/>
        <w:jc w:val="left"/>
      </w:pPr>
      <w:r>
        <w:rPr>
          <w:rFonts w:ascii="Arial" w:cs="Arial" w:eastAsia="Arial" w:hAnsi="Arial"/>
          <w:b w:val="false"/>
          <w:bCs w:val="false"/>
          <w:i w:val="false"/>
          <w:iCs w:val="false"/>
          <w:color w:val="111111"/>
          <w:sz w:val="22"/>
          <w:szCs w:val="22"/>
        </w:rPr>
        <w:t xml:space="preserve">A sensitivity analysis additionally tests the alternative binary threshold (Low: &lt; 0.05; High: ≥ 0.05) and the 0.20 single cutpoint. These analyses are reported in a supplementary appendix and explicitly labelled as secondary. Data-driven cutpoint derivation (X-tile or recursive partitioning) is conducted as an exploratory appendix-only analysis; cutpoints so derived are not used in primary modelling and are accompanied by a clear statement of the multiple comparisons concern and the sample-dependent instability of data-derived thresholds.</w:t>
      </w:r>
    </w:p>
    <w:p>
      <w:pPr>
        <w:pStyle w:val="Heading2"/>
        <w:spacing w:before="280" w:after="120"/>
      </w:pPr>
      <w:r>
        <w:rPr>
          <w:rFonts w:ascii="Arial" w:cs="Arial" w:eastAsia="Arial" w:hAnsi="Arial"/>
          <w:b/>
          <w:bCs/>
          <w:color w:val="0D6E6E"/>
          <w:sz w:val="26"/>
          <w:szCs w:val="26"/>
        </w:rPr>
        <w:t xml:space="preserve">5.2 Comparator Exposure: TNM N-Stage</w:t>
      </w:r>
    </w:p>
    <w:p>
      <w:pPr>
        <w:spacing w:before="60" w:after="100" w:line="320"/>
        <w:jc w:val="left"/>
      </w:pPr>
      <w:r>
        <w:rPr>
          <w:rFonts w:ascii="Arial" w:cs="Arial" w:eastAsia="Arial" w:hAnsi="Arial"/>
          <w:b w:val="false"/>
          <w:bCs w:val="false"/>
          <w:i w:val="false"/>
          <w:iCs w:val="false"/>
          <w:color w:val="111111"/>
          <w:sz w:val="22"/>
          <w:szCs w:val="22"/>
        </w:rPr>
        <w:t xml:space="preserve">TNM N-stage classified per AJCC 8th edition: N1a, N1b, N1c, N2a, N2b. Entered as an ordinal categorical variable in all comparative models. N1c (tumour deposits without regional nodal metastasis) presents a specific challenge: these patients have LNR = 0 by definition (no positive lymph nodes in the conventional sense) yet are classified as node-positive by N-stage. A pre-specified sensitivity analysis excluding N1c patients is conducted to test whether the comparison between LNR and N-stage is confounded by this category.</w:t>
      </w:r>
    </w:p>
    <w:p>
      <w:pPr>
        <w:pStyle w:val="Heading2"/>
        <w:spacing w:before="280" w:after="120"/>
      </w:pPr>
      <w:r>
        <w:rPr>
          <w:rFonts w:ascii="Arial" w:cs="Arial" w:eastAsia="Arial" w:hAnsi="Arial"/>
          <w:b/>
          <w:bCs/>
          <w:color w:val="0D6E6E"/>
          <w:sz w:val="26"/>
          <w:szCs w:val="26"/>
        </w:rPr>
        <w:t xml:space="preserve">5.3 Primary Outcome: Overall Survival</w:t>
      </w:r>
    </w:p>
    <w:p>
      <w:pPr>
        <w:spacing w:before="60" w:after="100" w:line="320"/>
        <w:jc w:val="left"/>
      </w:pPr>
      <w:r>
        <w:rPr>
          <w:rFonts w:ascii="Arial" w:cs="Arial" w:eastAsia="Arial" w:hAnsi="Arial"/>
          <w:b w:val="false"/>
          <w:bCs w:val="false"/>
          <w:i w:val="false"/>
          <w:iCs w:val="false"/>
          <w:color w:val="111111"/>
          <w:sz w:val="22"/>
          <w:szCs w:val="22"/>
        </w:rPr>
        <w:t xml:space="preserve">Overall survival (OS) is the primary outcome, defined as the time from the date of index surgical resection to death from any cause. Patients alive at the time of data extraction are censored at their last known contact date. OS is chosen as the primary outcome because it is objective, unambiguous, not subject to cause-of-death misclassification, and is the primary endpoint used in the staging validation literature. Standard Cox proportional hazards modelling is used for OS.</w:t>
      </w:r>
    </w:p>
    <w:p>
      <w:pPr>
        <w:pStyle w:val="Heading2"/>
        <w:spacing w:before="280" w:after="120"/>
      </w:pPr>
      <w:r>
        <w:rPr>
          <w:rFonts w:ascii="Arial" w:cs="Arial" w:eastAsia="Arial" w:hAnsi="Arial"/>
          <w:b/>
          <w:bCs/>
          <w:color w:val="0D6E6E"/>
          <w:sz w:val="26"/>
          <w:szCs w:val="26"/>
        </w:rPr>
        <w:t xml:space="preserve">5.4 Secondary Outcomes</w:t>
      </w:r>
    </w:p>
    <w:p>
      <w:pPr>
        <w:pStyle w:val="Heading3"/>
        <w:spacing w:before="200" w:after="80"/>
      </w:pPr>
      <w:r>
        <w:rPr>
          <w:rFonts w:ascii="Arial" w:cs="Arial" w:eastAsia="Arial" w:hAnsi="Arial"/>
          <w:b/>
          <w:bCs/>
          <w:color w:val="4A4A4A"/>
          <w:sz w:val="23"/>
          <w:szCs w:val="23"/>
        </w:rPr>
        <w:t xml:space="preserve">5.4.1 Disease-free survival</w:t>
      </w:r>
    </w:p>
    <w:p>
      <w:pPr>
        <w:spacing w:before="60" w:after="100" w:line="320"/>
        <w:jc w:val="left"/>
      </w:pPr>
      <w:r>
        <w:rPr>
          <w:rFonts w:ascii="Arial" w:cs="Arial" w:eastAsia="Arial" w:hAnsi="Arial"/>
          <w:b w:val="false"/>
          <w:bCs w:val="false"/>
          <w:i w:val="false"/>
          <w:iCs w:val="false"/>
          <w:color w:val="111111"/>
          <w:sz w:val="22"/>
          <w:szCs w:val="22"/>
        </w:rPr>
        <w:t xml:space="preserve">Disease-free survival (DFS) is defined as time from surgery to first confirmed recurrence (locoregional or distant), or death from any cause, whichever occurs first. Recurrence is confirmed by imaging, histopathology, or multidisciplinary team decision documented in the clinical record.</w:t>
      </w:r>
    </w:p>
    <w:p>
      <w:pPr>
        <w:spacing w:before="60" w:after="100" w:line="320"/>
        <w:jc w:val="left"/>
      </w:pPr>
      <w:r>
        <w:rPr>
          <w:rFonts w:ascii="Arial" w:cs="Arial" w:eastAsia="Arial" w:hAnsi="Arial"/>
          <w:b w:val="false"/>
          <w:bCs w:val="false"/>
          <w:i w:val="false"/>
          <w:iCs w:val="false"/>
          <w:color w:val="111111"/>
          <w:sz w:val="22"/>
          <w:szCs w:val="22"/>
        </w:rPr>
        <w:t xml:space="preserve">Critical revision (critique point 5): DFS is analysed using the Fine-Gray subdistribution hazard model, with death before recurrence treated as a competing event. Standard Cox analysis for DFS is retained as a sensitivity analysis only. This approach is mandated because treating non-recurrence deaths as simple censoring events is incorrect — patients who die of cardiovascular disease or other causes cannot subsequently develop CRC recurrence, and their censoring is informative, not random. The Fine-Gray hazard ratio for LNR tier versus N-stage is the reported estimate for DFS.</w:t>
      </w:r>
    </w:p>
    <w:p>
      <w:pPr>
        <w:pStyle w:val="Heading3"/>
        <w:spacing w:before="200" w:after="80"/>
      </w:pPr>
      <w:r>
        <w:rPr>
          <w:rFonts w:ascii="Arial" w:cs="Arial" w:eastAsia="Arial" w:hAnsi="Arial"/>
          <w:b/>
          <w:bCs/>
          <w:color w:val="4A4A4A"/>
          <w:sz w:val="23"/>
          <w:szCs w:val="23"/>
        </w:rPr>
        <w:t xml:space="preserve">5.4.2 Cancer-specific survival</w:t>
      </w:r>
    </w:p>
    <w:p>
      <w:pPr>
        <w:spacing w:before="60" w:after="100" w:line="320"/>
        <w:jc w:val="left"/>
      </w:pPr>
      <w:r>
        <w:rPr>
          <w:rFonts w:ascii="Arial" w:cs="Arial" w:eastAsia="Arial" w:hAnsi="Arial"/>
          <w:b w:val="false"/>
          <w:bCs w:val="false"/>
          <w:i w:val="false"/>
          <w:iCs w:val="false"/>
          <w:color w:val="111111"/>
          <w:sz w:val="22"/>
          <w:szCs w:val="22"/>
        </w:rPr>
        <w:t xml:space="preserve">Cancer-specific survival (CSS) is defined as time from surgery to death attributed to colorectal cancer. Non-cancer death is the competing event, analysed using the Fine-Gray model. CSS requires reliable cause-of-death data from death certificates or clinical records.</w:t>
      </w:r>
    </w:p>
    <w:p>
      <w:pPr>
        <w:spacing w:before="60" w:after="100" w:line="320"/>
        <w:jc w:val="left"/>
      </w:pPr>
      <w:r>
        <w:rPr>
          <w:rFonts w:ascii="Arial" w:cs="Arial" w:eastAsia="Arial" w:hAnsi="Arial"/>
          <w:b w:val="false"/>
          <w:bCs w:val="false"/>
          <w:i w:val="false"/>
          <w:iCs w:val="false"/>
          <w:color w:val="111111"/>
          <w:sz w:val="22"/>
          <w:szCs w:val="22"/>
        </w:rPr>
        <w:t xml:space="preserve">Conditional inclusion: CSS is included as a formal endpoint only if cause-of-death data is available for ≥ 85% of deceased patients. If this threshold is not met, CSS is replaced by a descriptive analysis of recorded cause of death, with explicit acknowledgement in the limitations section that CSS analysis was not feasible due to data completeness. The binary decision on CSS inclusion is pre-specified here and applied before any survival modelling begins.</w:t>
      </w:r>
    </w:p>
    <w:p>
      <w:pPr>
        <w:spacing w:before="0" w:after="0"/>
      </w:pPr>
      <w:r>
        <w:br/>
      </w:r>
    </w:p>
    <w:p>
      <w:pPr>
        <w:pStyle w:val="Heading1"/>
        <w:pBdr>
          <w:bottom w:val="single" w:color="1B3A6B" w:sz="8"/>
        </w:pBdr>
        <w:spacing w:before="360" w:after="160"/>
      </w:pPr>
      <w:r>
        <w:rPr>
          <w:rFonts w:ascii="Arial" w:cs="Arial" w:eastAsia="Arial" w:hAnsi="Arial"/>
          <w:b/>
          <w:bCs/>
          <w:color w:val="1B3A6B"/>
          <w:sz w:val="32"/>
          <w:szCs w:val="32"/>
        </w:rPr>
        <w:t xml:space="preserve">6. Sample Size, Power, and Event-Count Gating</w:t>
      </w:r>
    </w:p>
    <w:p>
      <w:pPr>
        <w:pStyle w:val="Heading2"/>
        <w:spacing w:before="280" w:after="120"/>
      </w:pPr>
      <w:r>
        <w:rPr>
          <w:rFonts w:ascii="Arial" w:cs="Arial" w:eastAsia="Arial" w:hAnsi="Arial"/>
          <w:b/>
          <w:bCs/>
          <w:color w:val="0D6E6E"/>
          <w:sz w:val="26"/>
          <w:szCs w:val="26"/>
        </w:rPr>
        <w:t xml:space="preserve">6.1 Power Calculation Basis</w:t>
      </w:r>
    </w:p>
    <w:p>
      <w:pPr>
        <w:spacing w:before="60" w:after="100" w:line="320"/>
        <w:jc w:val="left"/>
      </w:pPr>
      <w:r>
        <w:rPr>
          <w:rFonts w:ascii="Arial" w:cs="Arial" w:eastAsia="Arial" w:hAnsi="Arial"/>
          <w:b w:val="false"/>
          <w:bCs w:val="false"/>
          <w:i w:val="false"/>
          <w:iCs w:val="false"/>
          <w:color w:val="111111"/>
          <w:sz w:val="22"/>
          <w:szCs w:val="22"/>
        </w:rPr>
        <w:t xml:space="preserve">The primary comparison is between the Uno C-statistic of the full multivariable model with LNR (Model D, Layer 3) and the equivalent model with N-stage (Model C, Layer 3). The pre-specified minimum clinically meaningful difference is ΔC ≥ 0.05. At two-sided α = 0.05 and 80% power, the required number of events is computed from the full model complexity.</w:t>
      </w:r>
    </w:p>
    <w:p>
      <w:pPr>
        <w:spacing w:before="60" w:after="100" w:line="320"/>
        <w:jc w:val="left"/>
      </w:pPr>
      <w:r>
        <w:rPr>
          <w:rFonts w:ascii="Arial" w:cs="Arial" w:eastAsia="Arial" w:hAnsi="Arial"/>
          <w:b w:val="false"/>
          <w:bCs w:val="false"/>
          <w:i w:val="false"/>
          <w:iCs w:val="false"/>
          <w:color w:val="111111"/>
          <w:sz w:val="22"/>
          <w:szCs w:val="22"/>
        </w:rPr>
        <w:t xml:space="preserve">The full multivariable model (Layer 3) with continuous LNR as a restricted cubic spline (3 knots = 2 additional degrees of freedom), plus T-stage (2 df), tumour grade (1 df), LVI (1 df), PNI (1 df), resection margin (1 df), TLE continuous spline (2 df), tumour site (1 df), age continuous (1 df), and calendar period spline (2 df) constitutes approximately 14–16 degrees of freedom in total. At the minimum acceptable events-per-variable ratio of EPV = 10, this requires 140–160 death events. At EPV = 15 (preferred for stable spline estimation), this requires 210–240 death events.</w:t>
      </w:r>
    </w:p>
    <w:p>
      <w:pPr>
        <w:spacing w:before="60" w:after="100" w:line="320"/>
        <w:jc w:val="left"/>
      </w:pPr>
      <w:r>
        <w:rPr>
          <w:rFonts w:ascii="Arial" w:cs="Arial" w:eastAsia="Arial" w:hAnsi="Arial"/>
          <w:b w:val="false"/>
          <w:bCs w:val="false"/>
          <w:i w:val="false"/>
          <w:iCs w:val="false"/>
          <w:color w:val="111111"/>
          <w:sz w:val="22"/>
          <w:szCs w:val="22"/>
        </w:rPr>
        <w:t xml:space="preserve">For the interaction test specified in H₄ (LNR × TLE adequacy), power requirements are approximately four times those of the main effect, requiring ≥ 200 events minimum for 80% power to detect a plausible interaction.</w:t>
      </w:r>
    </w:p>
    <w:p>
      <w:pPr>
        <w:pStyle w:val="Heading2"/>
        <w:spacing w:before="280" w:after="120"/>
      </w:pPr>
      <w:r>
        <w:rPr>
          <w:rFonts w:ascii="Arial" w:cs="Arial" w:eastAsia="Arial" w:hAnsi="Arial"/>
          <w:b/>
          <w:bCs/>
          <w:color w:val="0D6E6E"/>
          <w:sz w:val="26"/>
          <w:szCs w:val="26"/>
        </w:rPr>
        <w:t xml:space="preserve">6.2 Implied Patient Numbers</w:t>
      </w:r>
    </w:p>
    <w:p>
      <w:pPr>
        <w:spacing w:before="60" w:after="100" w:line="320"/>
        <w:jc w:val="left"/>
      </w:pPr>
      <w:r>
        <w:rPr>
          <w:rFonts w:ascii="Arial" w:cs="Arial" w:eastAsia="Arial" w:hAnsi="Arial"/>
          <w:b w:val="false"/>
          <w:bCs w:val="false"/>
          <w:i w:val="false"/>
          <w:iCs w:val="false"/>
          <w:color w:val="111111"/>
          <w:sz w:val="22"/>
          <w:szCs w:val="22"/>
        </w:rPr>
        <w:t xml:space="preserve">Assuming a five-year overall survival of approximately 55–60% in node-positive CRC (corresponding to approximately 35–40% mortality over the accrual and follow-up period), and requiring 140–210 events, the corresponding patient numbers are approximately 350–600. A single large tertiary referral centre with 10–15 years of accrual may yield 200–400 node-positive CRC cases; multi-site collaboration is strongly encouraged to reach the target event count of ≥ 130 deaths (minimum viable tier) or the preferred ≥ 200 deaths (full-power tier).</w:t>
      </w:r>
    </w:p>
    <w:p>
      <w:pPr>
        <w:pStyle w:val="Heading2"/>
        <w:spacing w:before="280" w:after="120"/>
      </w:pPr>
      <w:r>
        <w:rPr>
          <w:rFonts w:ascii="Arial" w:cs="Arial" w:eastAsia="Arial" w:hAnsi="Arial"/>
          <w:b/>
          <w:bCs/>
          <w:color w:val="0D6E6E"/>
          <w:sz w:val="26"/>
          <w:szCs w:val="26"/>
        </w:rPr>
        <w:t xml:space="preserve">6.3 Pre-Specified Event-Count Gating Framework (Critical Revision — Critique Point 4)</w:t>
      </w:r>
    </w:p>
    <w:p>
      <w:pPr>
        <w:spacing w:before="60" w:after="100" w:line="320"/>
        <w:jc w:val="left"/>
      </w:pPr>
      <w:r>
        <w:rPr>
          <w:rFonts w:ascii="Arial" w:cs="Arial" w:eastAsia="Arial" w:hAnsi="Arial"/>
          <w:b w:val="false"/>
          <w:bCs w:val="false"/>
          <w:i w:val="false"/>
          <w:iCs w:val="false"/>
          <w:color w:val="111111"/>
          <w:sz w:val="22"/>
          <w:szCs w:val="22"/>
        </w:rPr>
        <w:t xml:space="preserve">Model complexity is scaled prospectively to the achieved event count. A blinded statistician (blinded to outcome-predictor associations) counts the total number of death events after data extraction and assigns the analytic tier before any outcome modelling begins. The analytic plan for that tier is then applied without escalation, regardless of how promising preliminary results appear. This pre-commitment prevents post-hoc model complexity inflation.</w:t>
      </w:r>
    </w:p>
    <w:p>
      <w:pPr>
        <w:spacing w:before="80" w:after="80" w:line="280"/>
        <w:jc w:val="left"/>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top"/>
          </w:tcPr>
          <w:p>
            <w:pPr>
              <w:spacing w:before="0" w:after="0" w:line="280"/>
              <w:jc w:val="left"/>
            </w:pPr>
            <w:r>
              <w:rPr>
                <w:rFonts w:ascii="Arial" w:cs="Arial" w:eastAsia="Arial" w:hAnsi="Arial"/>
                <w:b/>
                <w:bCs/>
                <w:i w:val="false"/>
                <w:iCs w:val="false"/>
                <w:color w:val="FFFFFF"/>
                <w:sz w:val="21"/>
                <w:szCs w:val="21"/>
              </w:rPr>
              <w:t xml:space="preserve">Events (deaths)</w:t>
            </w:r>
          </w:p>
        </w:tc>
        <w:tc>
          <w:tcPr>
            <w:tcW w:type="dxa" w:w="16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top"/>
          </w:tcPr>
          <w:p>
            <w:pPr>
              <w:spacing w:before="0" w:after="0" w:line="280"/>
              <w:jc w:val="left"/>
            </w:pPr>
            <w:r>
              <w:rPr>
                <w:rFonts w:ascii="Arial" w:cs="Arial" w:eastAsia="Arial" w:hAnsi="Arial"/>
                <w:b/>
                <w:bCs/>
                <w:i w:val="false"/>
                <w:iCs w:val="false"/>
                <w:color w:val="FFFFFF"/>
                <w:sz w:val="21"/>
                <w:szCs w:val="21"/>
              </w:rPr>
              <w:t xml:space="preserve">Tier</w:t>
            </w:r>
          </w:p>
        </w:tc>
        <w:tc>
          <w:tcPr>
            <w:tcW w:type="dxa" w:w="61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top"/>
          </w:tcPr>
          <w:p>
            <w:pPr>
              <w:spacing w:before="0" w:after="0" w:line="280"/>
              <w:jc w:val="left"/>
            </w:pPr>
            <w:r>
              <w:rPr>
                <w:rFonts w:ascii="Arial" w:cs="Arial" w:eastAsia="Arial" w:hAnsi="Arial"/>
                <w:b/>
                <w:bCs/>
                <w:i w:val="false"/>
                <w:iCs w:val="false"/>
                <w:color w:val="FFFFFF"/>
                <w:sz w:val="21"/>
                <w:szCs w:val="21"/>
              </w:rPr>
              <w:t xml:space="preserve">Permitted analyses</w:t>
            </w:r>
          </w:p>
        </w:tc>
      </w:tr>
      <w:tr>
        <w:tc>
          <w:tcPr>
            <w:tcW w:type="dxa" w:w="1600"/>
            <w:tcBorders>
              <w:top w:val="single" w:color="D6DBE4" w:sz="4"/>
              <w:left w:val="single" w:color="D6DBE4" w:sz="4"/>
              <w:bottom w:val="single" w:color="D6DBE4" w:sz="4"/>
              <w:right w:val="single" w:color="D6DBE4" w:sz="4"/>
            </w:tcBorders>
            <w:shd w:fill="FEF2F2" w:val="clear"/>
            <w:tcMar>
              <w:top w:type="dxa" w:w="100"/>
              <w:left w:type="dxa" w:w="140"/>
              <w:bottom w:type="dxa" w:w="100"/>
              <w:right w:type="dxa" w:w="140"/>
            </w:tcMar>
            <w:vAlign w:val="top"/>
          </w:tcPr>
          <w:p>
            <w:pPr>
              <w:spacing w:before="0" w:after="0" w:line="280"/>
              <w:jc w:val="left"/>
            </w:pPr>
            <w:r>
              <w:rPr>
                <w:rFonts w:ascii="Arial" w:cs="Arial" w:eastAsia="Arial" w:hAnsi="Arial"/>
                <w:b/>
                <w:bCs/>
                <w:i w:val="false"/>
                <w:iCs w:val="false"/>
                <w:color w:val="111111"/>
                <w:sz w:val="20"/>
                <w:szCs w:val="20"/>
              </w:rPr>
              <w:t xml:space="preserve">&lt; 80</w:t>
            </w:r>
          </w:p>
        </w:tc>
        <w:tc>
          <w:tcPr>
            <w:tcW w:type="dxa" w:w="1600"/>
            <w:tcBorders>
              <w:top w:val="single" w:color="D6DBE4" w:sz="4"/>
              <w:left w:val="single" w:color="D6DBE4" w:sz="4"/>
              <w:bottom w:val="single" w:color="D6DBE4" w:sz="4"/>
              <w:right w:val="single" w:color="D6DBE4" w:sz="4"/>
            </w:tcBorders>
            <w:shd w:fill="FEF2F2" w:val="clear"/>
            <w:tcMar>
              <w:top w:type="dxa" w:w="100"/>
              <w:left w:type="dxa" w:w="140"/>
              <w:bottom w:type="dxa" w:w="100"/>
              <w:right w:type="dxa" w:w="140"/>
            </w:tcMar>
            <w:vAlign w:val="top"/>
          </w:tcPr>
          <w:p>
            <w:pPr>
              <w:spacing w:before="0" w:after="0" w:line="280"/>
              <w:jc w:val="left"/>
            </w:pPr>
            <w:r>
              <w:rPr>
                <w:rFonts w:ascii="Arial" w:cs="Arial" w:eastAsia="Arial" w:hAnsi="Arial"/>
                <w:b/>
                <w:bCs/>
                <w:i w:val="false"/>
                <w:iCs w:val="false"/>
                <w:color w:val="111111"/>
                <w:sz w:val="20"/>
                <w:szCs w:val="20"/>
              </w:rPr>
              <w:t xml:space="preserve">Inadequate</w:t>
            </w:r>
          </w:p>
        </w:tc>
        <w:tc>
          <w:tcPr>
            <w:tcW w:type="dxa" w:w="6160"/>
            <w:tcBorders>
              <w:top w:val="single" w:color="D6DBE4" w:sz="4"/>
              <w:left w:val="single" w:color="D6DBE4" w:sz="4"/>
              <w:bottom w:val="single" w:color="D6DBE4" w:sz="4"/>
              <w:right w:val="single" w:color="D6DBE4" w:sz="4"/>
            </w:tcBorders>
            <w:shd w:fill="FEF2F2" w:val="clear"/>
            <w:tcMar>
              <w:top w:type="dxa" w:w="80"/>
              <w:left w:type="dxa" w:w="140"/>
              <w:bottom w:type="dxa" w:w="80"/>
              <w:right w:type="dxa" w:w="140"/>
            </w:tcMar>
          </w:tcPr>
          <w:p>
            <w:pPr>
              <w:spacing w:before="40" w:after="20" w:line="280"/>
              <w:jc w:val="left"/>
            </w:pPr>
            <w:r>
              <w:rPr>
                <w:rFonts w:ascii="Arial" w:cs="Arial" w:eastAsia="Arial" w:hAnsi="Arial"/>
                <w:b w:val="false"/>
                <w:bCs w:val="false"/>
                <w:i w:val="false"/>
                <w:iCs w:val="false"/>
                <w:color w:val="111111"/>
                <w:sz w:val="20"/>
                <w:szCs w:val="20"/>
              </w:rPr>
              <w:t xml:space="preserve">Kaplan-Meier curves and log-rank test only</w:t>
            </w:r>
          </w:p>
          <w:p>
            <w:pPr>
              <w:spacing w:before="20" w:after="20" w:line="280"/>
              <w:jc w:val="left"/>
            </w:pPr>
            <w:r>
              <w:rPr>
                <w:rFonts w:ascii="Arial" w:cs="Arial" w:eastAsia="Arial" w:hAnsi="Arial"/>
                <w:b w:val="false"/>
                <w:bCs w:val="false"/>
                <w:i w:val="false"/>
                <w:iCs w:val="false"/>
                <w:color w:val="111111"/>
                <w:sz w:val="20"/>
                <w:szCs w:val="20"/>
              </w:rPr>
              <w:t xml:space="preserve">Univariate Cox for LNR and N-stage; no multivariable adjustment</w:t>
            </w:r>
          </w:p>
          <w:p>
            <w:pPr>
              <w:spacing w:before="20" w:after="40" w:line="280"/>
              <w:jc w:val="left"/>
            </w:pPr>
            <w:r>
              <w:rPr>
                <w:rFonts w:ascii="Arial" w:cs="Arial" w:eastAsia="Arial" w:hAnsi="Arial"/>
                <w:b w:val="false"/>
                <w:bCs w:val="false"/>
                <w:i w:val="false"/>
                <w:iCs w:val="false"/>
                <w:color w:val="111111"/>
                <w:sz w:val="20"/>
                <w:szCs w:val="20"/>
              </w:rPr>
              <w:t xml:space="preserve">Findings reported as hypothesis-generating only; seek multi-site collaboration before submission</w:t>
            </w:r>
          </w:p>
        </w:tc>
      </w:tr>
      <w:tr>
        <w:tc>
          <w:tcPr>
            <w:tcW w:type="dxa" w:w="1600"/>
            <w:tcBorders>
              <w:top w:val="single" w:color="D6DBE4" w:sz="4"/>
              <w:left w:val="single" w:color="D6DBE4" w:sz="4"/>
              <w:bottom w:val="single" w:color="D6DBE4" w:sz="4"/>
              <w:right w:val="single" w:color="D6DBE4" w:sz="4"/>
            </w:tcBorders>
            <w:shd w:fill="FFFBEB" w:val="clear"/>
            <w:tcMar>
              <w:top w:type="dxa" w:w="100"/>
              <w:left w:type="dxa" w:w="140"/>
              <w:bottom w:type="dxa" w:w="100"/>
              <w:right w:type="dxa" w:w="140"/>
            </w:tcMar>
            <w:vAlign w:val="top"/>
          </w:tcPr>
          <w:p>
            <w:pPr>
              <w:spacing w:before="0" w:after="0" w:line="280"/>
              <w:jc w:val="left"/>
            </w:pPr>
            <w:r>
              <w:rPr>
                <w:rFonts w:ascii="Arial" w:cs="Arial" w:eastAsia="Arial" w:hAnsi="Arial"/>
                <w:b/>
                <w:bCs/>
                <w:i w:val="false"/>
                <w:iCs w:val="false"/>
                <w:color w:val="111111"/>
                <w:sz w:val="20"/>
                <w:szCs w:val="20"/>
              </w:rPr>
              <w:t xml:space="preserve">80–129</w:t>
            </w:r>
          </w:p>
        </w:tc>
        <w:tc>
          <w:tcPr>
            <w:tcW w:type="dxa" w:w="1600"/>
            <w:tcBorders>
              <w:top w:val="single" w:color="D6DBE4" w:sz="4"/>
              <w:left w:val="single" w:color="D6DBE4" w:sz="4"/>
              <w:bottom w:val="single" w:color="D6DBE4" w:sz="4"/>
              <w:right w:val="single" w:color="D6DBE4" w:sz="4"/>
            </w:tcBorders>
            <w:shd w:fill="FFFBEB"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Minimum viable</w:t>
            </w:r>
          </w:p>
        </w:tc>
        <w:tc>
          <w:tcPr>
            <w:tcW w:type="dxa" w:w="6160"/>
            <w:tcBorders>
              <w:top w:val="single" w:color="D6DBE4" w:sz="4"/>
              <w:left w:val="single" w:color="D6DBE4" w:sz="4"/>
              <w:bottom w:val="single" w:color="D6DBE4" w:sz="4"/>
              <w:right w:val="single" w:color="D6DBE4" w:sz="4"/>
            </w:tcBorders>
            <w:shd w:fill="FFFBEB" w:val="clear"/>
            <w:tcMar>
              <w:top w:type="dxa" w:w="80"/>
              <w:left w:type="dxa" w:w="140"/>
              <w:bottom w:type="dxa" w:w="80"/>
              <w:right w:type="dxa" w:w="140"/>
            </w:tcMar>
          </w:tcPr>
          <w:p>
            <w:pPr>
              <w:spacing w:before="40" w:after="20" w:line="280"/>
              <w:jc w:val="left"/>
            </w:pPr>
            <w:r>
              <w:rPr>
                <w:rFonts w:ascii="Arial" w:cs="Arial" w:eastAsia="Arial" w:hAnsi="Arial"/>
                <w:b w:val="false"/>
                <w:bCs w:val="false"/>
                <w:i w:val="false"/>
                <w:iCs w:val="false"/>
                <w:color w:val="111111"/>
                <w:sz w:val="20"/>
                <w:szCs w:val="20"/>
              </w:rPr>
              <w:t xml:space="preserve">Restricted MVA: maximum 8 degrees of freedom; Ridge-penalised Cox to prevent overfitting</w:t>
            </w:r>
          </w:p>
          <w:p>
            <w:pPr>
              <w:spacing w:before="20" w:after="20" w:line="280"/>
              <w:jc w:val="left"/>
            </w:pPr>
            <w:r>
              <w:rPr>
                <w:rFonts w:ascii="Arial" w:cs="Arial" w:eastAsia="Arial" w:hAnsi="Arial"/>
                <w:b w:val="false"/>
                <w:bCs w:val="false"/>
                <w:i w:val="false"/>
                <w:iCs w:val="false"/>
                <w:color w:val="111111"/>
                <w:sz w:val="20"/>
                <w:szCs w:val="20"/>
              </w:rPr>
              <w:t xml:space="preserve">C-statistic comparison (Layers 1–3) with bootstrap CI; decision-curve analysis</w:t>
            </w:r>
          </w:p>
          <w:p>
            <w:pPr>
              <w:spacing w:before="20" w:after="20" w:line="280"/>
              <w:jc w:val="left"/>
            </w:pPr>
            <w:r>
              <w:rPr>
                <w:rFonts w:ascii="Arial" w:cs="Arial" w:eastAsia="Arial" w:hAnsi="Arial"/>
                <w:b w:val="false"/>
                <w:bCs w:val="false"/>
                <w:i w:val="false"/>
                <w:iCs w:val="false"/>
                <w:color w:val="111111"/>
                <w:sz w:val="20"/>
                <w:szCs w:val="20"/>
              </w:rPr>
              <w:t xml:space="preserve">Calibration plots; AIC/BIC; reclassification table (descriptive)</w:t>
            </w:r>
          </w:p>
          <w:p>
            <w:pPr>
              <w:spacing w:before="20" w:after="40" w:line="280"/>
              <w:jc w:val="left"/>
            </w:pPr>
            <w:r>
              <w:rPr>
                <w:rFonts w:ascii="Arial" w:cs="Arial" w:eastAsia="Arial" w:hAnsi="Arial"/>
                <w:b w:val="false"/>
                <w:bCs w:val="false"/>
                <w:i w:val="false"/>
                <w:iCs w:val="false"/>
                <w:color w:val="111111"/>
                <w:sz w:val="20"/>
                <w:szCs w:val="20"/>
              </w:rPr>
              <w:t xml:space="preserve">No interaction tests; subgroup analyses are descriptive and exploratory only</w:t>
            </w:r>
          </w:p>
        </w:tc>
      </w:tr>
      <w:tr>
        <w:tc>
          <w:tcPr>
            <w:tcW w:type="dxa" w:w="1600"/>
            <w:tcBorders>
              <w:top w:val="single" w:color="D6DBE4" w:sz="4"/>
              <w:left w:val="single" w:color="D6DBE4" w:sz="4"/>
              <w:bottom w:val="single" w:color="D6DBE4" w:sz="4"/>
              <w:right w:val="single" w:color="D6DBE4" w:sz="4"/>
            </w:tcBorders>
            <w:shd w:fill="F0FDF4" w:val="clear"/>
            <w:tcMar>
              <w:top w:type="dxa" w:w="100"/>
              <w:left w:type="dxa" w:w="140"/>
              <w:bottom w:type="dxa" w:w="100"/>
              <w:right w:type="dxa" w:w="140"/>
            </w:tcMar>
            <w:vAlign w:val="top"/>
          </w:tcPr>
          <w:p>
            <w:pPr>
              <w:spacing w:before="0" w:after="0" w:line="280"/>
              <w:jc w:val="left"/>
            </w:pPr>
            <w:r>
              <w:rPr>
                <w:rFonts w:ascii="Arial" w:cs="Arial" w:eastAsia="Arial" w:hAnsi="Arial"/>
                <w:b/>
                <w:bCs/>
                <w:i w:val="false"/>
                <w:iCs w:val="false"/>
                <w:color w:val="111111"/>
                <w:sz w:val="20"/>
                <w:szCs w:val="20"/>
              </w:rPr>
              <w:t xml:space="preserve">130–199</w:t>
            </w:r>
          </w:p>
        </w:tc>
        <w:tc>
          <w:tcPr>
            <w:tcW w:type="dxa" w:w="1600"/>
            <w:tcBorders>
              <w:top w:val="single" w:color="D6DBE4" w:sz="4"/>
              <w:left w:val="single" w:color="D6DBE4" w:sz="4"/>
              <w:bottom w:val="single" w:color="D6DBE4" w:sz="4"/>
              <w:right w:val="single" w:color="D6DBE4" w:sz="4"/>
            </w:tcBorders>
            <w:shd w:fill="F0FDF4"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Target (preferred)</w:t>
            </w:r>
          </w:p>
        </w:tc>
        <w:tc>
          <w:tcPr>
            <w:tcW w:type="dxa" w:w="6160"/>
            <w:tcBorders>
              <w:top w:val="single" w:color="D6DBE4" w:sz="4"/>
              <w:left w:val="single" w:color="D6DBE4" w:sz="4"/>
              <w:bottom w:val="single" w:color="D6DBE4" w:sz="4"/>
              <w:right w:val="single" w:color="D6DBE4" w:sz="4"/>
            </w:tcBorders>
            <w:shd w:fill="F0FDF4" w:val="clear"/>
            <w:tcMar>
              <w:top w:type="dxa" w:w="80"/>
              <w:left w:type="dxa" w:w="140"/>
              <w:bottom w:type="dxa" w:w="80"/>
              <w:right w:type="dxa" w:w="140"/>
            </w:tcMar>
          </w:tcPr>
          <w:p>
            <w:pPr>
              <w:spacing w:before="40" w:after="20" w:line="280"/>
              <w:jc w:val="left"/>
            </w:pPr>
            <w:r>
              <w:rPr>
                <w:rFonts w:ascii="Arial" w:cs="Arial" w:eastAsia="Arial" w:hAnsi="Arial"/>
                <w:b w:val="false"/>
                <w:bCs w:val="false"/>
                <w:i w:val="false"/>
                <w:iCs w:val="false"/>
                <w:color w:val="111111"/>
                <w:sz w:val="20"/>
                <w:szCs w:val="20"/>
              </w:rPr>
              <w:t xml:space="preserve">Full MVA (14–16 df): RCS splines for LNR and TLE; calendar period spline</w:t>
            </w:r>
          </w:p>
          <w:p>
            <w:pPr>
              <w:spacing w:before="20" w:after="20" w:line="280"/>
              <w:jc w:val="left"/>
            </w:pPr>
            <w:r>
              <w:rPr>
                <w:rFonts w:ascii="Arial" w:cs="Arial" w:eastAsia="Arial" w:hAnsi="Arial"/>
                <w:b w:val="false"/>
                <w:bCs w:val="false"/>
                <w:i w:val="false"/>
                <w:iCs w:val="false"/>
                <w:color w:val="111111"/>
                <w:sz w:val="20"/>
                <w:szCs w:val="20"/>
              </w:rPr>
              <w:t xml:space="preserve">Uno C-statistic, DCA, calibration plots (primary co-endpoints); AIC/BIC</w:t>
            </w:r>
          </w:p>
          <w:p>
            <w:pPr>
              <w:spacing w:before="20" w:after="20" w:line="280"/>
              <w:jc w:val="left"/>
            </w:pPr>
            <w:r>
              <w:rPr>
                <w:rFonts w:ascii="Arial" w:cs="Arial" w:eastAsia="Arial" w:hAnsi="Arial"/>
                <w:b w:val="false"/>
                <w:bCs w:val="false"/>
                <w:i w:val="false"/>
                <w:iCs w:val="false"/>
                <w:color w:val="111111"/>
                <w:sz w:val="20"/>
                <w:szCs w:val="20"/>
              </w:rPr>
              <w:t xml:space="preserve">Fine-Gray competing risks models for DFS and CSS</w:t>
            </w:r>
          </w:p>
          <w:p>
            <w:pPr>
              <w:spacing w:before="20" w:after="20" w:line="280"/>
              <w:jc w:val="left"/>
            </w:pPr>
            <w:r>
              <w:rPr>
                <w:rFonts w:ascii="Arial" w:cs="Arial" w:eastAsia="Arial" w:hAnsi="Arial"/>
                <w:b w:val="false"/>
                <w:bCs w:val="false"/>
                <w:i w:val="false"/>
                <w:iCs w:val="false"/>
                <w:color w:val="111111"/>
                <w:sz w:val="20"/>
                <w:szCs w:val="20"/>
              </w:rPr>
              <w:t xml:space="preserve">Pre-specified subgroup analyses (descriptive, no inferential interaction tests)</w:t>
            </w:r>
          </w:p>
          <w:p>
            <w:pPr>
              <w:spacing w:before="20" w:after="40" w:line="280"/>
              <w:jc w:val="left"/>
            </w:pPr>
            <w:r>
              <w:rPr>
                <w:rFonts w:ascii="Arial" w:cs="Arial" w:eastAsia="Arial" w:hAnsi="Arial"/>
                <w:b w:val="false"/>
                <w:bCs w:val="false"/>
                <w:i w:val="false"/>
                <w:iCs w:val="false"/>
                <w:color w:val="111111"/>
                <w:sz w:val="20"/>
                <w:szCs w:val="20"/>
              </w:rPr>
              <w:t xml:space="preserve">NRI and IDI in supplementary appendix (exploratory)</w:t>
            </w:r>
          </w:p>
        </w:tc>
      </w:tr>
      <w:tr>
        <w:tc>
          <w:tcPr>
            <w:tcW w:type="dxa" w:w="1600"/>
            <w:tcBorders>
              <w:top w:val="single" w:color="D6DBE4" w:sz="4"/>
              <w:left w:val="single" w:color="D6DBE4" w:sz="4"/>
              <w:bottom w:val="single" w:color="D6DBE4" w:sz="4"/>
              <w:right w:val="single" w:color="D6DBE4" w:sz="4"/>
            </w:tcBorders>
            <w:shd w:fill="EFF6FF" w:val="clear"/>
            <w:tcMar>
              <w:top w:type="dxa" w:w="100"/>
              <w:left w:type="dxa" w:w="140"/>
              <w:bottom w:type="dxa" w:w="100"/>
              <w:right w:type="dxa" w:w="140"/>
            </w:tcMar>
            <w:vAlign w:val="top"/>
          </w:tcPr>
          <w:p>
            <w:pPr>
              <w:spacing w:before="0" w:after="0" w:line="280"/>
              <w:jc w:val="left"/>
            </w:pPr>
            <w:r>
              <w:rPr>
                <w:rFonts w:ascii="Arial" w:cs="Arial" w:eastAsia="Arial" w:hAnsi="Arial"/>
                <w:b/>
                <w:bCs/>
                <w:i w:val="false"/>
                <w:iCs w:val="false"/>
                <w:color w:val="111111"/>
                <w:sz w:val="20"/>
                <w:szCs w:val="20"/>
              </w:rPr>
              <w:t xml:space="preserve">≥ 200</w:t>
            </w:r>
          </w:p>
        </w:tc>
        <w:tc>
          <w:tcPr>
            <w:tcW w:type="dxa" w:w="1600"/>
            <w:tcBorders>
              <w:top w:val="single" w:color="D6DBE4" w:sz="4"/>
              <w:left w:val="single" w:color="D6DBE4" w:sz="4"/>
              <w:bottom w:val="single" w:color="D6DBE4" w:sz="4"/>
              <w:right w:val="single" w:color="D6DBE4" w:sz="4"/>
            </w:tcBorders>
            <w:shd w:fill="EFF6FF"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Full power</w:t>
            </w:r>
          </w:p>
        </w:tc>
        <w:tc>
          <w:tcPr>
            <w:tcW w:type="dxa" w:w="6160"/>
            <w:tcBorders>
              <w:top w:val="single" w:color="D6DBE4" w:sz="4"/>
              <w:left w:val="single" w:color="D6DBE4" w:sz="4"/>
              <w:bottom w:val="single" w:color="D6DBE4" w:sz="4"/>
              <w:right w:val="single" w:color="D6DBE4" w:sz="4"/>
            </w:tcBorders>
            <w:shd w:fill="EFF6FF" w:val="clear"/>
            <w:tcMar>
              <w:top w:type="dxa" w:w="80"/>
              <w:left w:type="dxa" w:w="140"/>
              <w:bottom w:type="dxa" w:w="80"/>
              <w:right w:type="dxa" w:w="140"/>
            </w:tcMar>
          </w:tcPr>
          <w:p>
            <w:pPr>
              <w:spacing w:before="40" w:after="20" w:line="280"/>
              <w:jc w:val="left"/>
            </w:pPr>
            <w:r>
              <w:rPr>
                <w:rFonts w:ascii="Arial" w:cs="Arial" w:eastAsia="Arial" w:hAnsi="Arial"/>
                <w:b w:val="false"/>
                <w:bCs w:val="false"/>
                <w:i w:val="false"/>
                <w:iCs w:val="false"/>
                <w:color w:val="111111"/>
                <w:sz w:val="20"/>
                <w:szCs w:val="20"/>
              </w:rPr>
              <w:t xml:space="preserve">All analyses above, plus formal interaction test: LNR × TLE adequacy (H₄)</w:t>
            </w:r>
          </w:p>
          <w:p>
            <w:pPr>
              <w:spacing w:before="20" w:after="20" w:line="280"/>
              <w:jc w:val="left"/>
            </w:pPr>
            <w:r>
              <w:rPr>
                <w:rFonts w:ascii="Arial" w:cs="Arial" w:eastAsia="Arial" w:hAnsi="Arial"/>
                <w:b w:val="false"/>
                <w:bCs w:val="false"/>
                <w:i w:val="false"/>
                <w:iCs w:val="false"/>
                <w:color w:val="111111"/>
                <w:sz w:val="20"/>
                <w:szCs w:val="20"/>
              </w:rPr>
              <w:t xml:space="preserve">Subgroup analyses with inferential C-statistic comparison within each stratum</w:t>
            </w:r>
          </w:p>
          <w:p>
            <w:pPr>
              <w:spacing w:before="20" w:after="20" w:line="280"/>
              <w:jc w:val="left"/>
            </w:pPr>
            <w:r>
              <w:rPr>
                <w:rFonts w:ascii="Arial" w:cs="Arial" w:eastAsia="Arial" w:hAnsi="Arial"/>
                <w:b w:val="false"/>
                <w:bCs w:val="false"/>
                <w:i w:val="false"/>
                <w:iCs w:val="false"/>
                <w:color w:val="111111"/>
                <w:sz w:val="20"/>
                <w:szCs w:val="20"/>
              </w:rPr>
              <w:t xml:space="preserve">Shared-frailty Cox model if multi-site; calendar-period-adjusted sensitivity analyses</w:t>
            </w:r>
          </w:p>
          <w:p>
            <w:pPr>
              <w:spacing w:before="20" w:after="40" w:line="280"/>
              <w:jc w:val="left"/>
            </w:pPr>
            <w:r>
              <w:rPr>
                <w:rFonts w:ascii="Arial" w:cs="Arial" w:eastAsia="Arial" w:hAnsi="Arial"/>
                <w:b w:val="false"/>
                <w:bCs w:val="false"/>
                <w:i w:val="false"/>
                <w:iCs w:val="false"/>
                <w:color w:val="111111"/>
                <w:sz w:val="20"/>
                <w:szCs w:val="20"/>
              </w:rPr>
              <w:t xml:space="preserve">Full decision-curve analysis with net benefit at defined clinical threshold probabilities</w:t>
            </w:r>
          </w:p>
        </w:tc>
      </w:tr>
    </w:tbl>
    <w:p>
      <w:pPr>
        <w:spacing w:before="80" w:after="80" w:line="280"/>
        <w:jc w:val="left"/>
      </w:pPr>
      <w:r>
        <w:rPr>
          <w:rFonts w:ascii="Arial" w:cs="Arial" w:eastAsia="Arial" w:hAnsi="Arial"/>
          <w:b w:val="false"/>
          <w:bCs w:val="false"/>
          <w:i w:val="false"/>
          <w:iCs w:val="false"/>
          <w:color w:val="111111"/>
          <w:sz w:val="22"/>
          <w:szCs w:val="22"/>
        </w:rPr>
        <w:t xml:space="preserve"/>
      </w:r>
    </w:p>
    <w:p>
      <w:pPr>
        <w:spacing w:before="60" w:after="100" w:line="320"/>
        <w:jc w:val="left"/>
      </w:pPr>
      <w:r>
        <w:rPr>
          <w:rFonts w:ascii="Arial" w:cs="Arial" w:eastAsia="Arial" w:hAnsi="Arial"/>
          <w:b w:val="false"/>
          <w:bCs w:val="false"/>
          <w:i w:val="false"/>
          <w:iCs w:val="false"/>
          <w:color w:val="6B7280"/>
          <w:sz w:val="22"/>
          <w:szCs w:val="22"/>
        </w:rPr>
        <w:t xml:space="preserve">df = degrees of freedom; RCS = restricted cubic splines; DCA = decision-curve analysis; NRI = net reclassification improvement; IDI = integrated discrimination improvement; MVA = multivariable analysis.</w:t>
      </w:r>
    </w:p>
    <w:p>
      <w:pPr>
        <w:spacing w:before="0" w:after="0"/>
      </w:pPr>
      <w:r>
        <w:br/>
      </w:r>
    </w:p>
    <w:p>
      <w:pPr>
        <w:pStyle w:val="Heading1"/>
        <w:pBdr>
          <w:bottom w:val="single" w:color="1B3A6B" w:sz="8"/>
        </w:pBdr>
        <w:spacing w:before="360" w:after="160"/>
      </w:pPr>
      <w:r>
        <w:rPr>
          <w:rFonts w:ascii="Arial" w:cs="Arial" w:eastAsia="Arial" w:hAnsi="Arial"/>
          <w:b/>
          <w:bCs/>
          <w:color w:val="1B3A6B"/>
          <w:sz w:val="32"/>
          <w:szCs w:val="32"/>
        </w:rPr>
        <w:t xml:space="preserve">7. Statistical Analysis Plan</w:t>
      </w:r>
    </w:p>
    <w:p>
      <w:pPr>
        <w:pStyle w:val="Heading2"/>
        <w:spacing w:before="280" w:after="120"/>
      </w:pPr>
      <w:r>
        <w:rPr>
          <w:rFonts w:ascii="Arial" w:cs="Arial" w:eastAsia="Arial" w:hAnsi="Arial"/>
          <w:b/>
          <w:bCs/>
          <w:color w:val="0D6E6E"/>
          <w:sz w:val="26"/>
          <w:szCs w:val="26"/>
        </w:rPr>
        <w:t xml:space="preserve">7.1 Phase 1 — Data Preparation and Descriptive Statistics (SO6)</w:t>
      </w:r>
    </w:p>
    <w:p>
      <w:pPr>
        <w:spacing w:before="60" w:after="100" w:line="320"/>
        <w:jc w:val="left"/>
      </w:pPr>
      <w:r>
        <w:rPr>
          <w:rFonts w:ascii="Arial" w:cs="Arial" w:eastAsia="Arial" w:hAnsi="Arial"/>
          <w:b w:val="false"/>
          <w:bCs w:val="false"/>
          <w:i w:val="false"/>
          <w:iCs w:val="false"/>
          <w:color w:val="111111"/>
          <w:sz w:val="22"/>
          <w:szCs w:val="22"/>
        </w:rPr>
        <w:t xml:space="preserve">LNR is computed for each patient as: LNR = (number of tumour-positive lymph nodes) / (total number of lymph nodes examined). The continuous distribution of LNR is characterised and assessed for normality. Given its bounded [0, 1] range and likely right-skew, a logit-transformation or arcsine-square root transformation is applied for descriptive purposes; the untransformed ratio enters all survival models.</w:t>
      </w:r>
    </w:p>
    <w:p>
      <w:pPr>
        <w:spacing w:before="60" w:after="100" w:line="320"/>
        <w:jc w:val="left"/>
      </w:pPr>
      <w:r>
        <w:rPr>
          <w:rFonts w:ascii="Arial" w:cs="Arial" w:eastAsia="Arial" w:hAnsi="Arial"/>
          <w:b w:val="false"/>
          <w:bCs w:val="false"/>
          <w:i w:val="false"/>
          <w:iCs w:val="false"/>
          <w:color w:val="111111"/>
          <w:sz w:val="22"/>
          <w:szCs w:val="22"/>
        </w:rPr>
        <w:t xml:space="preserve">TLE distribution is characterised with particular attention to the proportion of patients with TLE &lt; 12 (the AJCC minimum adequacy threshold) and TLE &lt; 8 (a more stringent adequacy criterion). TLE is plotted as a function of calendar year to assess temporal trends, and any trend is formally documented as contextual reference data for AJCC. Descriptive statistics for all baseline variables are reported by LNR tier and by N-stage category using means (SD) or medians (IQR) as appropriate for continuous variables, and proportions with chi-squared or Fisher's exact test for categorical variables. No p-values are used for covariate balance assessment in the baseline table (Table 1) — standardised mean differences are used instead, as p-values for baseline differences in observational studies are methodologically uninformative.</w:t>
      </w:r>
    </w:p>
    <w:p>
      <w:pPr>
        <w:spacing w:before="60" w:after="100" w:line="320"/>
        <w:jc w:val="left"/>
      </w:pPr>
      <w:r>
        <w:rPr>
          <w:rFonts w:ascii="Arial" w:cs="Arial" w:eastAsia="Arial" w:hAnsi="Arial"/>
          <w:b w:val="false"/>
          <w:bCs w:val="false"/>
          <w:i w:val="false"/>
          <w:iCs w:val="false"/>
          <w:color w:val="111111"/>
          <w:sz w:val="22"/>
          <w:szCs w:val="22"/>
        </w:rPr>
        <w:t xml:space="preserve">Missing data: All variables with &gt; 5% missingness are identified and reported. The likely candidates in retrospective South Asian institutional data include LVI, PNI, grade differentiation, and cause of death. Multiple imputation by chained equations (MICE) is applied with m ≥ 20 imputed datasets for any key covariate with &gt; 5% missingness. The imputation model includes the outcome (survival time and event indicator as Nelson-Aalen cumulative hazard estimate, per White-Royston guidance for survival data imputation) and all covariates. Rubin's rules are used to pool estimates across imputed datasets. Complete case analysis is conducted in parallel as a pre-specified sensitivity analysis.</w:t>
      </w:r>
    </w:p>
    <w:p>
      <w:pPr>
        <w:pStyle w:val="Heading2"/>
        <w:spacing w:before="280" w:after="120"/>
      </w:pPr>
      <w:r>
        <w:rPr>
          <w:rFonts w:ascii="Arial" w:cs="Arial" w:eastAsia="Arial" w:hAnsi="Arial"/>
          <w:b/>
          <w:bCs/>
          <w:color w:val="0D6E6E"/>
          <w:sz w:val="26"/>
          <w:szCs w:val="26"/>
        </w:rPr>
        <w:t xml:space="preserve">7.2 Phase 2 — Unadjusted Survival Analysis (SO1, SO2 foundational)</w:t>
      </w:r>
    </w:p>
    <w:p>
      <w:pPr>
        <w:spacing w:before="60" w:after="100" w:line="320"/>
        <w:jc w:val="left"/>
      </w:pPr>
      <w:r>
        <w:rPr>
          <w:rFonts w:ascii="Arial" w:cs="Arial" w:eastAsia="Arial" w:hAnsi="Arial"/>
          <w:b w:val="false"/>
          <w:bCs w:val="false"/>
          <w:i w:val="false"/>
          <w:iCs w:val="false"/>
          <w:color w:val="111111"/>
          <w:sz w:val="22"/>
          <w:szCs w:val="22"/>
        </w:rPr>
        <w:t xml:space="preserve">Kaplan-Meier survival curves are produced for: (a) N-stage subcategories (N1a, N1b, N1c, N2a, N2b), and (b) LNR categorical tiers (Low, Intermediate, High) as defined in Section 5.1.2. Log-rank test with Bonferroni correction for multiple group comparisons. Survival estimates at 1, 3, and 5 years with 95% confidence intervals are tabulated for each group. Restricted mean survival time (RMST) at 5 years is computed as a complement to median survival, providing an absolute time-based survival summary that is interpretable even when the proportional hazards assumption may not hold.</w:t>
      </w:r>
    </w:p>
    <w:p>
      <w:pPr>
        <w:spacing w:before="60" w:after="100" w:line="320"/>
        <w:jc w:val="left"/>
      </w:pPr>
      <w:r>
        <w:rPr>
          <w:rFonts w:ascii="Arial" w:cs="Arial" w:eastAsia="Arial" w:hAnsi="Arial"/>
          <w:b w:val="false"/>
          <w:bCs w:val="false"/>
          <w:i w:val="false"/>
          <w:iCs w:val="false"/>
          <w:color w:val="111111"/>
          <w:sz w:val="22"/>
          <w:szCs w:val="22"/>
        </w:rPr>
        <w:t xml:space="preserve">The continuous LNR–mortality dose-response relationship is visualised using a smoothed hazard plot (Schoenfeld residual-based martingale residual plot from a Cox null model), confirming whether a linear or non-linear relationship is present before spline knot placement. This visual assessment is documented and reported as justification for the RCS specification.</w:t>
      </w:r>
    </w:p>
    <w:p>
      <w:pPr>
        <w:pStyle w:val="Heading2"/>
        <w:spacing w:before="280" w:after="120"/>
      </w:pPr>
      <w:r>
        <w:rPr>
          <w:rFonts w:ascii="Arial" w:cs="Arial" w:eastAsia="Arial" w:hAnsi="Arial"/>
          <w:b/>
          <w:bCs/>
          <w:color w:val="0D6E6E"/>
          <w:sz w:val="26"/>
          <w:szCs w:val="26"/>
        </w:rPr>
        <w:t xml:space="preserve">7.3 Phase 3 — Prognostic Model Construction and Three-Layer Comparison (SO2, SO3)</w:t>
      </w:r>
    </w:p>
    <w:p>
      <w:pPr>
        <w:pStyle w:val="Heading3"/>
        <w:spacing w:before="200" w:after="80"/>
      </w:pPr>
      <w:r>
        <w:rPr>
          <w:rFonts w:ascii="Arial" w:cs="Arial" w:eastAsia="Arial" w:hAnsi="Arial"/>
          <w:b/>
          <w:bCs/>
          <w:color w:val="4A4A4A"/>
          <w:sz w:val="23"/>
          <w:szCs w:val="23"/>
        </w:rPr>
        <w:t xml:space="preserve">7.3.1 The three-layer symmetric comparison framework (critical revision — critique points 1 and 3)</w:t>
      </w:r>
    </w:p>
    <w:p>
      <w:pPr>
        <w:spacing w:before="60" w:after="100" w:line="320"/>
        <w:jc w:val="left"/>
      </w:pPr>
      <w:r>
        <w:rPr>
          <w:rFonts w:ascii="Arial" w:cs="Arial" w:eastAsia="Arial" w:hAnsi="Arial"/>
          <w:b w:val="false"/>
          <w:bCs w:val="false"/>
          <w:i w:val="false"/>
          <w:iCs w:val="false"/>
          <w:color w:val="111111"/>
          <w:sz w:val="22"/>
          <w:szCs w:val="22"/>
        </w:rPr>
        <w:t xml:space="preserve">Six Cox proportional hazards models are built in a pre-specified three-layer framework that systematically isolates the contribution of harvest adequacy from LNR's incremental value. This framework ensures the comparison between LNR and N-stage is symmetric at each level of covariate adjustment, enabling principled interpretation of where LNR's advantage originates.</w:t>
      </w:r>
    </w:p>
    <w:p>
      <w:pPr>
        <w:spacing w:before="80" w:after="80" w:line="280"/>
        <w:jc w:val="left"/>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5660"/>
      </w:tblGrid>
      <w:tr>
        <w:tc>
          <w:tcPr>
            <w:tcW w:type="dxa" w:w="9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top"/>
          </w:tcPr>
          <w:p>
            <w:pPr>
              <w:spacing w:before="0" w:after="0" w:line="280"/>
              <w:jc w:val="left"/>
            </w:pPr>
            <w:r>
              <w:rPr>
                <w:rFonts w:ascii="Arial" w:cs="Arial" w:eastAsia="Arial" w:hAnsi="Arial"/>
                <w:b/>
                <w:bCs/>
                <w:i w:val="false"/>
                <w:iCs w:val="false"/>
                <w:color w:val="FFFFFF"/>
                <w:sz w:val="21"/>
                <w:szCs w:val="21"/>
              </w:rPr>
              <w:t xml:space="preserve">Layer</w:t>
            </w:r>
          </w:p>
        </w:tc>
        <w:tc>
          <w:tcPr>
            <w:tcW w:type="dxa" w:w="14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top"/>
          </w:tcPr>
          <w:p>
            <w:pPr>
              <w:spacing w:before="0" w:after="0" w:line="280"/>
              <w:jc w:val="left"/>
            </w:pPr>
            <w:r>
              <w:rPr>
                <w:rFonts w:ascii="Arial" w:cs="Arial" w:eastAsia="Arial" w:hAnsi="Arial"/>
                <w:b/>
                <w:bCs/>
                <w:i w:val="false"/>
                <w:iCs w:val="false"/>
                <w:color w:val="FFFFFF"/>
                <w:sz w:val="21"/>
                <w:szCs w:val="21"/>
              </w:rPr>
              <w:t xml:space="preserve">N-stage model</w:t>
            </w:r>
          </w:p>
        </w:tc>
        <w:tc>
          <w:tcPr>
            <w:tcW w:type="dxa" w:w="14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top"/>
          </w:tcPr>
          <w:p>
            <w:pPr>
              <w:spacing w:before="0" w:after="0" w:line="280"/>
              <w:jc w:val="left"/>
            </w:pPr>
            <w:r>
              <w:rPr>
                <w:rFonts w:ascii="Arial" w:cs="Arial" w:eastAsia="Arial" w:hAnsi="Arial"/>
                <w:b/>
                <w:bCs/>
                <w:i w:val="false"/>
                <w:iCs w:val="false"/>
                <w:color w:val="FFFFFF"/>
                <w:sz w:val="21"/>
                <w:szCs w:val="21"/>
              </w:rPr>
              <w:t xml:space="preserve">LNR model</w:t>
            </w:r>
          </w:p>
        </w:tc>
        <w:tc>
          <w:tcPr>
            <w:tcW w:type="dxa" w:w="56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top"/>
          </w:tcPr>
          <w:p>
            <w:pPr>
              <w:spacing w:before="0" w:after="0" w:line="280"/>
              <w:jc w:val="left"/>
            </w:pPr>
            <w:r>
              <w:rPr>
                <w:rFonts w:ascii="Arial" w:cs="Arial" w:eastAsia="Arial" w:hAnsi="Arial"/>
                <w:b/>
                <w:bCs/>
                <w:i w:val="false"/>
                <w:iCs w:val="false"/>
                <w:color w:val="FFFFFF"/>
                <w:sz w:val="21"/>
                <w:szCs w:val="21"/>
              </w:rPr>
              <w:t xml:space="preserve">Scientific question answered</w:t>
            </w:r>
          </w:p>
        </w:tc>
      </w:tr>
      <w:tr>
        <w:tc>
          <w:tcPr>
            <w:tcW w:type="dxa" w:w="900"/>
            <w:tcBorders>
              <w:top w:val="single" w:color="D6DBE4" w:sz="4"/>
              <w:left w:val="single" w:color="D6DBE4" w:sz="4"/>
              <w:bottom w:val="single" w:color="D6DBE4" w:sz="4"/>
              <w:right w:val="single" w:color="D6DBE4" w:sz="4"/>
            </w:tcBorders>
            <w:shd w:fill="F2F4F7"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1
(Unadjusted)</w:t>
            </w:r>
          </w:p>
        </w:tc>
        <w:tc>
          <w:tcPr>
            <w:tcW w:type="dxa" w:w="1400"/>
            <w:tcBorders>
              <w:top w:val="single" w:color="D6DBE4" w:sz="4"/>
              <w:left w:val="single" w:color="D6DBE4" w:sz="4"/>
              <w:bottom w:val="single" w:color="D6DBE4" w:sz="4"/>
              <w:right w:val="single" w:color="D6DBE4" w:sz="4"/>
            </w:tcBorders>
            <w:shd w:fill="F2F4F7"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Model A:
N-stage only</w:t>
            </w:r>
          </w:p>
        </w:tc>
        <w:tc>
          <w:tcPr>
            <w:tcW w:type="dxa" w:w="1400"/>
            <w:tcBorders>
              <w:top w:val="single" w:color="D6DBE4" w:sz="4"/>
              <w:left w:val="single" w:color="D6DBE4" w:sz="4"/>
              <w:bottom w:val="single" w:color="D6DBE4" w:sz="4"/>
              <w:right w:val="single" w:color="D6DBE4" w:sz="4"/>
            </w:tcBorders>
            <w:shd w:fill="F2F4F7"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Model B:
Continuous LNR (RCS)</w:t>
            </w:r>
          </w:p>
        </w:tc>
        <w:tc>
          <w:tcPr>
            <w:tcW w:type="dxa" w:w="5660"/>
            <w:tcBorders>
              <w:top w:val="single" w:color="D6DBE4" w:sz="4"/>
              <w:left w:val="single" w:color="D6DBE4" w:sz="4"/>
              <w:bottom w:val="single" w:color="D6DBE4" w:sz="4"/>
              <w:right w:val="single" w:color="D6DBE4" w:sz="4"/>
            </w:tcBorders>
            <w:shd w:fill="F2F4F7"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Does LNR contain survival-predictive information at all, without any adjustment? This is the gross comparison unconfounded by modelling decisions.</w:t>
            </w:r>
          </w:p>
        </w:tc>
      </w:tr>
      <w:tr>
        <w:tc>
          <w:tcPr>
            <w:tcW w:type="dxa" w:w="900"/>
            <w:tcBorders>
              <w:top w:val="single" w:color="D6DBE4" w:sz="4"/>
              <w:left w:val="single" w:color="D6DBE4" w:sz="4"/>
              <w:bottom w:val="single" w:color="D6DBE4" w:sz="4"/>
              <w:right w:val="single" w:color="D6DBE4" w:sz="4"/>
            </w:tcBorders>
            <w:shd w:fill="FFFFFF"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2
(TLE-adjusted)</w:t>
            </w:r>
          </w:p>
        </w:tc>
        <w:tc>
          <w:tcPr>
            <w:tcW w:type="dxa" w:w="1400"/>
            <w:tcBorders>
              <w:top w:val="single" w:color="D6DBE4" w:sz="4"/>
              <w:left w:val="single" w:color="D6DBE4" w:sz="4"/>
              <w:bottom w:val="single" w:color="D6DBE4" w:sz="4"/>
              <w:right w:val="single" w:color="D6DBE4" w:sz="4"/>
            </w:tcBorders>
            <w:shd w:fill="FFFFFF"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Model C₂:
N-stage + TLE (RCS)</w:t>
            </w:r>
          </w:p>
        </w:tc>
        <w:tc>
          <w:tcPr>
            <w:tcW w:type="dxa" w:w="1400"/>
            <w:tcBorders>
              <w:top w:val="single" w:color="D6DBE4" w:sz="4"/>
              <w:left w:val="single" w:color="D6DBE4" w:sz="4"/>
              <w:bottom w:val="single" w:color="D6DBE4" w:sz="4"/>
              <w:right w:val="single" w:color="D6DBE4" w:sz="4"/>
            </w:tcBorders>
            <w:shd w:fill="FFFFFF"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Model D₂:
LNR + TLE (RCS)</w:t>
            </w:r>
          </w:p>
        </w:tc>
        <w:tc>
          <w:tcPr>
            <w:tcW w:type="dxa" w:w="5660"/>
            <w:tcBorders>
              <w:top w:val="single" w:color="D6DBE4" w:sz="4"/>
              <w:left w:val="single" w:color="D6DBE4" w:sz="4"/>
              <w:bottom w:val="single" w:color="D6DBE4" w:sz="4"/>
              <w:right w:val="single" w:color="D6DBE4" w:sz="4"/>
            </w:tcBorders>
            <w:shd w:fill="FFFFFF"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Does LNR add value beyond what harvest volume alone explains? If ΔC diminishes markedly from Layer 1 to Layer 2, LNR's advantage was largely a harvest-volume artifact. If it persists, LNR encodes ratio information beyond mere volume.</w:t>
            </w:r>
          </w:p>
        </w:tc>
      </w:tr>
      <w:tr>
        <w:tc>
          <w:tcPr>
            <w:tcW w:type="dxa" w:w="900"/>
            <w:tcBorders>
              <w:top w:val="single" w:color="D6DBE4" w:sz="4"/>
              <w:left w:val="single" w:color="D6DBE4" w:sz="4"/>
              <w:bottom w:val="single" w:color="D6DBE4" w:sz="4"/>
              <w:right w:val="single" w:color="D6DBE4" w:sz="4"/>
            </w:tcBorders>
            <w:shd w:fill="F2F4F7"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3
(Full MVA)
(Primary)</w:t>
            </w:r>
          </w:p>
        </w:tc>
        <w:tc>
          <w:tcPr>
            <w:tcW w:type="dxa" w:w="1400"/>
            <w:tcBorders>
              <w:top w:val="single" w:color="D6DBE4" w:sz="4"/>
              <w:left w:val="single" w:color="D6DBE4" w:sz="4"/>
              <w:bottom w:val="single" w:color="D6DBE4" w:sz="4"/>
              <w:right w:val="single" w:color="D6DBE4" w:sz="4"/>
            </w:tcBorders>
            <w:shd w:fill="F2F4F7"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Model C:
N-stage + TLE + all covariates + calendar period</w:t>
            </w:r>
          </w:p>
        </w:tc>
        <w:tc>
          <w:tcPr>
            <w:tcW w:type="dxa" w:w="1400"/>
            <w:tcBorders>
              <w:top w:val="single" w:color="D6DBE4" w:sz="4"/>
              <w:left w:val="single" w:color="D6DBE4" w:sz="4"/>
              <w:bottom w:val="single" w:color="D6DBE4" w:sz="4"/>
              <w:right w:val="single" w:color="D6DBE4" w:sz="4"/>
            </w:tcBorders>
            <w:shd w:fill="F2F4F7"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Model D:
LNR + TLE + all covariates + calendar period</w:t>
            </w:r>
          </w:p>
        </w:tc>
        <w:tc>
          <w:tcPr>
            <w:tcW w:type="dxa" w:w="5660"/>
            <w:tcBorders>
              <w:top w:val="single" w:color="D6DBE4" w:sz="4"/>
              <w:left w:val="single" w:color="D6DBE4" w:sz="4"/>
              <w:bottom w:val="single" w:color="D6DBE4" w:sz="4"/>
              <w:right w:val="single" w:color="D6DBE4" w:sz="4"/>
            </w:tcBorders>
            <w:shd w:fill="F2F4F7"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Does LNR outperform N-stage in the clinically realistic setting where all known prognostic factors and temporal confounders are accounted for? This is the primary comparison for the declared estimand.</w:t>
            </w:r>
          </w:p>
        </w:tc>
      </w:tr>
    </w:tbl>
    <w:p>
      <w:pPr>
        <w:spacing w:before="80" w:after="80" w:line="280"/>
        <w:jc w:val="left"/>
      </w:pPr>
      <w:r>
        <w:rPr>
          <w:rFonts w:ascii="Arial" w:cs="Arial" w:eastAsia="Arial" w:hAnsi="Arial"/>
          <w:b w:val="false"/>
          <w:bCs w:val="false"/>
          <w:i w:val="false"/>
          <w:iCs w:val="false"/>
          <w:color w:val="111111"/>
          <w:sz w:val="22"/>
          <w:szCs w:val="22"/>
        </w:rPr>
        <w:t xml:space="preserve"/>
      </w:r>
    </w:p>
    <w:p>
      <w:pPr>
        <w:pStyle w:val="Heading3"/>
        <w:spacing w:before="200" w:after="80"/>
      </w:pPr>
      <w:r>
        <w:rPr>
          <w:rFonts w:ascii="Arial" w:cs="Arial" w:eastAsia="Arial" w:hAnsi="Arial"/>
          <w:b/>
          <w:bCs/>
          <w:color w:val="4A4A4A"/>
          <w:sz w:val="23"/>
          <w:szCs w:val="23"/>
        </w:rPr>
        <w:t xml:space="preserve">7.3.2 Covariate specification for full MVA models (Layers 2 and 3)</w:t>
      </w:r>
    </w:p>
    <w:p>
      <w:pPr>
        <w:spacing w:before="60" w:after="100" w:line="320"/>
        <w:jc w:val="left"/>
      </w:pPr>
      <w:r>
        <w:rPr>
          <w:rFonts w:ascii="Arial" w:cs="Arial" w:eastAsia="Arial" w:hAnsi="Arial"/>
          <w:b w:val="false"/>
          <w:bCs w:val="false"/>
          <w:i w:val="false"/>
          <w:iCs w:val="false"/>
          <w:color w:val="111111"/>
          <w:sz w:val="22"/>
          <w:szCs w:val="22"/>
        </w:rPr>
        <w:t xml:space="preserve">The following covariates are entered as a forced block in all full multivariable models. Stepwise variable selection is prohibited. Covariates are pre-specified on theoretical grounds; their inclusion is not contingent on univariable p-value.</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Age at surgery: continuous, modelled as linear (assess non-linearity via RCS as a secondary check)</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Sex: binary (male/female)</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Tumour site: binary (colon vs rectum) — reflecting distinct biological behaviour, surgical approach, and neo-adjuvant treatment patterns</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T-stage: categorical (pT1/pT2 vs pT3 vs pT4) — AJCC 8th edition</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Tumour grade: binary (well/moderately differentiated vs poorly differentiated/undifferentiated)</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Lymphovascular invasion (LVI): binary (present/absent) — from histopathology report</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Perineural invasion (PNI): binary (present/absent) — from histopathology report</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Resection margin status: binary (R0 vs R1) — R2 resections excluded by eligibility</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Total lymph nodes examined (TLE): continuous, modelled with RCS (3 knots) for Layers 2 and 3; binary (&lt; 12 vs ≥ 12) as sensitivity</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Calendar period of surgery: continuous restricted cubic spline (3 knots at tertiles of accrual period) — mandatory in all Layer 3 models as pre-specified confound for era-related changes in pathology practice, surgical technique, and chemotherapy regimens</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Centre/site: fixed effect (≤ 3 sites) or random frailty (≥ 4 sites)</w:t>
      </w:r>
    </w:p>
    <w:p>
      <w:pPr>
        <w:pStyle w:val="Heading3"/>
        <w:spacing w:before="200" w:after="80"/>
      </w:pPr>
      <w:r>
        <w:rPr>
          <w:rFonts w:ascii="Arial" w:cs="Arial" w:eastAsia="Arial" w:hAnsi="Arial"/>
          <w:b/>
          <w:bCs/>
          <w:color w:val="4A4A4A"/>
          <w:sz w:val="23"/>
          <w:szCs w:val="23"/>
        </w:rPr>
        <w:t xml:space="preserve">7.3.3 Chemotherapy handling (critical revision — critique point 7)</w:t>
      </w:r>
    </w:p>
    <w:p>
      <w:pPr>
        <w:spacing w:before="60" w:after="100" w:line="320"/>
        <w:jc w:val="left"/>
      </w:pPr>
      <w:r>
        <w:rPr>
          <w:rFonts w:ascii="Arial" w:cs="Arial" w:eastAsia="Arial" w:hAnsi="Arial"/>
          <w:b w:val="false"/>
          <w:bCs w:val="false"/>
          <w:i w:val="false"/>
          <w:iCs w:val="false"/>
          <w:color w:val="111111"/>
          <w:sz w:val="22"/>
          <w:szCs w:val="22"/>
        </w:rPr>
        <w:t xml:space="preserve">Adjuvant chemotherapy receipt is handled by a pre-specified decision rule based on data availability, applied before modelling begins:</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If individual chemotherapy start dates are available in records: include as a time-varying binary covariate in all Cox models for OS. This is the methodologically correct approach and eliminates immortal time bias.</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If only binary receipt (yes/no) is available without start dates: chemotherapy is excluded from the primary OS multivariable model. It is included in a pre-specified sensitivity analysis as a fixed covariate at baseline, with explicit acknowledgement of the potential immortal time bias in that sensitivity model.</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In all cases: the distribution of chemotherapy receipt across LNR tiers and N-stage categories is reported descriptively in Table 1.</w:t>
      </w:r>
    </w:p>
    <w:p>
      <w:pPr>
        <w:spacing w:before="60" w:after="100" w:line="320"/>
        <w:jc w:val="left"/>
      </w:pPr>
      <w:r>
        <w:rPr>
          <w:rFonts w:ascii="Arial" w:cs="Arial" w:eastAsia="Arial" w:hAnsi="Arial"/>
          <w:b w:val="false"/>
          <w:bCs w:val="false"/>
          <w:i w:val="false"/>
          <w:iCs w:val="false"/>
          <w:color w:val="111111"/>
          <w:sz w:val="22"/>
          <w:szCs w:val="22"/>
        </w:rPr>
        <w:t xml:space="preserve">Chemotherapy is retained in the DFS multivariable model as a fixed covariate (binary receipt) because the DFS endpoint starts at surgery and ends at recurrence or death — a period during which the immortal time problem is less severe.</w:t>
      </w:r>
    </w:p>
    <w:p>
      <w:pPr>
        <w:pStyle w:val="Heading3"/>
        <w:spacing w:before="200" w:after="80"/>
      </w:pPr>
      <w:r>
        <w:rPr>
          <w:rFonts w:ascii="Arial" w:cs="Arial" w:eastAsia="Arial" w:hAnsi="Arial"/>
          <w:b/>
          <w:bCs/>
          <w:color w:val="4A4A4A"/>
          <w:sz w:val="23"/>
          <w:szCs w:val="23"/>
        </w:rPr>
        <w:t xml:space="preserve">7.3.4 Proportional hazards assumption testing</w:t>
      </w:r>
    </w:p>
    <w:p>
      <w:pPr>
        <w:spacing w:before="60" w:after="100" w:line="320"/>
        <w:jc w:val="left"/>
      </w:pPr>
      <w:r>
        <w:rPr>
          <w:rFonts w:ascii="Arial" w:cs="Arial" w:eastAsia="Arial" w:hAnsi="Arial"/>
          <w:b w:val="false"/>
          <w:bCs w:val="false"/>
          <w:i w:val="false"/>
          <w:iCs w:val="false"/>
          <w:color w:val="111111"/>
          <w:sz w:val="22"/>
          <w:szCs w:val="22"/>
        </w:rPr>
        <w:t xml:space="preserve">The proportional hazards assumption is tested for all covariates using scaled Schoenfeld residuals and their correlation with log(time). Global and per-variable tests are reported. For variables violating the PH assumption (p &lt; 0.10 from the Schoenfeld test), one of the following pre-specified remedies is applied, in order of preference: (1) stratification by the violating variable (if it is a nuisance variable rather than a covariate of primary interest); (2) inclusion of a time-interaction term (variable × log(time)); (3) use of restricted mean survival time (RMST) difference as a PH-free summary measure.</w:t>
      </w:r>
    </w:p>
    <w:p>
      <w:pPr>
        <w:pStyle w:val="Heading2"/>
        <w:spacing w:before="280" w:after="120"/>
      </w:pPr>
      <w:r>
        <w:rPr>
          <w:rFonts w:ascii="Arial" w:cs="Arial" w:eastAsia="Arial" w:hAnsi="Arial"/>
          <w:b/>
          <w:bCs/>
          <w:color w:val="0D6E6E"/>
          <w:sz w:val="26"/>
          <w:szCs w:val="26"/>
        </w:rPr>
        <w:t xml:space="preserve">7.4 Performance Metric Hierarchy (Critical Revision — Critique Point 6)</w:t>
      </w:r>
    </w:p>
    <w:p>
      <w:pPr>
        <w:spacing w:before="60" w:after="100" w:line="320"/>
        <w:jc w:val="left"/>
      </w:pPr>
      <w:r>
        <w:rPr>
          <w:rFonts w:ascii="Arial" w:cs="Arial" w:eastAsia="Arial" w:hAnsi="Arial"/>
          <w:b w:val="false"/>
          <w:bCs w:val="false"/>
          <w:i w:val="false"/>
          <w:iCs w:val="false"/>
          <w:color w:val="111111"/>
          <w:sz w:val="22"/>
          <w:szCs w:val="22"/>
        </w:rPr>
        <w:t xml:space="preserve">The performance metric hierarchy is restructured to reflect what staging committees require, rather than what is statistically easiest to compute. The inversion from the original protocol places clinical utility and calibration ahead of reclassification metrics.</w:t>
      </w:r>
    </w:p>
    <w:p>
      <w:pPr>
        <w:pStyle w:val="Heading3"/>
        <w:spacing w:before="200" w:after="80"/>
      </w:pPr>
      <w:r>
        <w:rPr>
          <w:rFonts w:ascii="Arial" w:cs="Arial" w:eastAsia="Arial" w:hAnsi="Arial"/>
          <w:b/>
          <w:bCs/>
          <w:color w:val="4A4A4A"/>
          <w:sz w:val="23"/>
          <w:szCs w:val="23"/>
        </w:rPr>
        <w:t xml:space="preserve">7.4.1 Primary co-endpoints</w:t>
      </w:r>
    </w:p>
    <w:p>
      <w:pPr>
        <w:spacing w:before="60" w:after="100" w:line="320"/>
        <w:jc w:val="left"/>
      </w:pPr>
      <w:r>
        <w:rPr>
          <w:rFonts w:ascii="Arial" w:cs="Arial" w:eastAsia="Arial" w:hAnsi="Arial"/>
          <w:b w:val="false"/>
          <w:bCs w:val="false"/>
          <w:i w:val="false"/>
          <w:iCs w:val="false"/>
          <w:color w:val="111111"/>
          <w:sz w:val="22"/>
          <w:szCs w:val="22"/>
        </w:rPr>
        <w:t xml:space="preserve">Uno's C-statistic (truncated at the 75th percentile of event times, providing robustness to heavy censoring) is computed for all six models across the three layers. The primary test statistic is ΔC between Model D (Layer 3) and Model C (Layer 3), with 95% bootstrap confidence interval (1000 resamples, bias-corrected and accelerated method). The pre-specified decision threshold for claiming clinical superiority is ΔC ≥ 0.05.</w:t>
      </w:r>
    </w:p>
    <w:p>
      <w:pPr>
        <w:spacing w:before="60" w:after="100" w:line="320"/>
        <w:jc w:val="left"/>
      </w:pPr>
      <w:r>
        <w:rPr>
          <w:rFonts w:ascii="Arial" w:cs="Arial" w:eastAsia="Arial" w:hAnsi="Arial"/>
          <w:b w:val="false"/>
          <w:bCs w:val="false"/>
          <w:i w:val="false"/>
          <w:iCs w:val="false"/>
          <w:color w:val="111111"/>
          <w:sz w:val="22"/>
          <w:szCs w:val="22"/>
        </w:rPr>
        <w:t xml:space="preserve">Decision-curve analysis (DCA) is elevated to co-primary status alongside C-statistic. DCA computes the net benefit of each model at each decision threshold probability from 10% to 60% (the clinically plausible range for treatment intensification decisions in node-positive CRC). The curve for Model D (LNR, full MVA) is compared visually and quantitatively against Model C (N-stage, full MVA), the treat-all strategy, and the treat-none strategy. DCA directly answers the staging-committee question: 'Across the range of probabilities at which a clinician would act differently based on staging information, does LNR-based staging lead to better clinical decisions?' No p-value threshold is declared for DCA; clinical interpretation of net benefit differences is the appropriate framework.</w:t>
      </w:r>
    </w:p>
    <w:p>
      <w:pPr>
        <w:pStyle w:val="Heading3"/>
        <w:spacing w:before="200" w:after="80"/>
      </w:pPr>
      <w:r>
        <w:rPr>
          <w:rFonts w:ascii="Arial" w:cs="Arial" w:eastAsia="Arial" w:hAnsi="Arial"/>
          <w:b/>
          <w:bCs/>
          <w:color w:val="4A4A4A"/>
          <w:sz w:val="23"/>
          <w:szCs w:val="23"/>
        </w:rPr>
        <w:t xml:space="preserve">7.4.2 Primary secondary endpoints</w:t>
      </w:r>
    </w:p>
    <w:p>
      <w:pPr>
        <w:spacing w:before="60" w:after="100" w:line="320"/>
        <w:jc w:val="left"/>
      </w:pPr>
      <w:r>
        <w:rPr>
          <w:rFonts w:ascii="Arial" w:cs="Arial" w:eastAsia="Arial" w:hAnsi="Arial"/>
          <w:b w:val="false"/>
          <w:bCs w:val="false"/>
          <w:i w:val="false"/>
          <w:iCs w:val="false"/>
          <w:color w:val="111111"/>
          <w:sz w:val="22"/>
          <w:szCs w:val="22"/>
        </w:rPr>
        <w:t xml:space="preserve">Calibration is assessed as a primary secondary endpoint through three complementary approaches: (1) calibration-in-the-large (comparing mean predicted survival probability against observed Kaplan-Meier estimate at 3 and 5 years); (2) calibration slope (regression of observed on predicted log-odds of survival, with slope = 1 indicating perfect calibration); and (3) calibration plot grouping patients into deciles of predicted risk and plotting observed against predicted survival at 3 and 5 years. A staging system that discriminates well but calibrates poorly is clinically deceptive; calibration is therefore not optional.</w:t>
      </w:r>
    </w:p>
    <w:p>
      <w:pPr>
        <w:spacing w:before="60" w:after="100" w:line="320"/>
        <w:jc w:val="left"/>
      </w:pPr>
      <w:r>
        <w:rPr>
          <w:rFonts w:ascii="Arial" w:cs="Arial" w:eastAsia="Arial" w:hAnsi="Arial"/>
          <w:b w:val="false"/>
          <w:bCs w:val="false"/>
          <w:i w:val="false"/>
          <w:iCs w:val="false"/>
          <w:color w:val="111111"/>
          <w:sz w:val="22"/>
          <w:szCs w:val="22"/>
        </w:rPr>
        <w:t xml:space="preserve">AIC (Akaike Information Criterion) and BIC (Bayesian Information Criterion) are reported for all six models as measures of model parsimony accounting for complexity.</w:t>
      </w:r>
    </w:p>
    <w:p>
      <w:pPr>
        <w:pStyle w:val="Heading3"/>
        <w:spacing w:before="200" w:after="80"/>
      </w:pPr>
      <w:r>
        <w:rPr>
          <w:rFonts w:ascii="Arial" w:cs="Arial" w:eastAsia="Arial" w:hAnsi="Arial"/>
          <w:b/>
          <w:bCs/>
          <w:color w:val="4A4A4A"/>
          <w:sz w:val="23"/>
          <w:szCs w:val="23"/>
        </w:rPr>
        <w:t xml:space="preserve">7.4.3 Exploratory appendix metrics</w:t>
      </w:r>
    </w:p>
    <w:p>
      <w:pPr>
        <w:spacing w:before="60" w:after="100" w:line="320"/>
        <w:jc w:val="left"/>
      </w:pPr>
      <w:r>
        <w:rPr>
          <w:rFonts w:ascii="Arial" w:cs="Arial" w:eastAsia="Arial" w:hAnsi="Arial"/>
          <w:b w:val="false"/>
          <w:bCs w:val="false"/>
          <w:i w:val="false"/>
          <w:iCs w:val="false"/>
          <w:color w:val="111111"/>
          <w:sz w:val="22"/>
          <w:szCs w:val="22"/>
        </w:rPr>
        <w:t xml:space="preserve">Continuous net reclassification improvement (NRI, Pencina 2011 formulation without arbitrary risk categories) and integrated discrimination improvement (IDI) are computed and reported in supplementary appendix only, clearly labelled as exploratory and subject to the known instability limitations of these metrics under modest sample sizes. They are not discussed as primary evidence for or against LNR superiority.</w:t>
      </w:r>
    </w:p>
    <w:p>
      <w:pPr>
        <w:spacing w:before="60" w:after="100" w:line="320"/>
        <w:jc w:val="left"/>
      </w:pPr>
      <w:r>
        <w:rPr>
          <w:rFonts w:ascii="Arial" w:cs="Arial" w:eastAsia="Arial" w:hAnsi="Arial"/>
          <w:b w:val="false"/>
          <w:bCs w:val="false"/>
          <w:i w:val="false"/>
          <w:iCs w:val="false"/>
          <w:color w:val="111111"/>
          <w:sz w:val="22"/>
          <w:szCs w:val="22"/>
        </w:rPr>
        <w:t xml:space="preserve">The descriptive reclassification table (cross-tabulation of N-stage tier × LNR tier with survival data per cell) is retained in the main results as a clinically intuitive secondary finding.</w:t>
      </w:r>
    </w:p>
    <w:p>
      <w:pPr>
        <w:pStyle w:val="Heading3"/>
        <w:spacing w:before="200" w:after="80"/>
      </w:pPr>
      <w:r>
        <w:rPr>
          <w:rFonts w:ascii="Arial" w:cs="Arial" w:eastAsia="Arial" w:hAnsi="Arial"/>
          <w:b/>
          <w:bCs/>
          <w:color w:val="4A4A4A"/>
          <w:sz w:val="23"/>
          <w:szCs w:val="23"/>
        </w:rPr>
        <w:t xml:space="preserve">7.4.4 Internal validation</w:t>
      </w:r>
    </w:p>
    <w:p>
      <w:pPr>
        <w:spacing w:before="60" w:after="100" w:line="320"/>
        <w:jc w:val="left"/>
      </w:pPr>
      <w:r>
        <w:rPr>
          <w:rFonts w:ascii="Arial" w:cs="Arial" w:eastAsia="Arial" w:hAnsi="Arial"/>
          <w:b w:val="false"/>
          <w:bCs w:val="false"/>
          <w:i w:val="false"/>
          <w:iCs w:val="false"/>
          <w:color w:val="111111"/>
          <w:sz w:val="22"/>
          <w:szCs w:val="22"/>
        </w:rPr>
        <w:t xml:space="preserve">Optimism-corrected C-statistics for all models are estimated using the .632+ bootstrap resampling framework (1000 resamples). This is the Harrell-Royston validation method expected by TRIPOD-compliant reporting and by staging-committee reviewers. Split-sample validation is not used — it wastes data and is inferior to bootstrap validation for datasets of this size.</w:t>
      </w:r>
    </w:p>
    <w:p>
      <w:pPr>
        <w:pStyle w:val="Heading2"/>
        <w:spacing w:before="280" w:after="120"/>
      </w:pPr>
      <w:r>
        <w:rPr>
          <w:rFonts w:ascii="Arial" w:cs="Arial" w:eastAsia="Arial" w:hAnsi="Arial"/>
          <w:b/>
          <w:bCs/>
          <w:color w:val="0D6E6E"/>
          <w:sz w:val="26"/>
          <w:szCs w:val="26"/>
        </w:rPr>
        <w:t xml:space="preserve">7.5 Phase 4 — Reclassification Analysis (SO4)</w:t>
      </w:r>
    </w:p>
    <w:p>
      <w:pPr>
        <w:spacing w:before="60" w:after="100" w:line="320"/>
        <w:jc w:val="left"/>
      </w:pPr>
      <w:r>
        <w:rPr>
          <w:rFonts w:ascii="Arial" w:cs="Arial" w:eastAsia="Arial" w:hAnsi="Arial"/>
          <w:b w:val="false"/>
          <w:bCs w:val="false"/>
          <w:i w:val="false"/>
          <w:iCs w:val="false"/>
          <w:color w:val="111111"/>
          <w:sz w:val="22"/>
          <w:szCs w:val="22"/>
        </w:rPr>
        <w:t xml:space="preserve">A cross-tabulation table is produced showing the distribution of patients across N-stage tiers (N1 vs N2) and LNR tiers (Low/Intermediate/High). The proportion of patients reclassified — assigned to a different broad risk category under LNR than under N-stage — is reported.</w:t>
      </w:r>
    </w:p>
    <w:p>
      <w:pPr>
        <w:spacing w:before="60" w:after="100" w:line="320"/>
        <w:jc w:val="left"/>
      </w:pPr>
      <w:r>
        <w:rPr>
          <w:rFonts w:ascii="Arial" w:cs="Arial" w:eastAsia="Arial" w:hAnsi="Arial"/>
          <w:b w:val="false"/>
          <w:bCs w:val="false"/>
          <w:i w:val="false"/>
          <w:iCs w:val="false"/>
          <w:color w:val="111111"/>
          <w:sz w:val="22"/>
          <w:szCs w:val="22"/>
        </w:rPr>
        <w:t xml:space="preserve">The clinical validity of reclassification is then tested: within each reclassification cell (e.g. patients who are N1 by N-stage but Intermediate-LNR), Kaplan-Meier curves are produced and compared against both the N-stage parent group and the LNR-assigned group. The question is whether reclassified patients' survival trajectories cluster more closely with their LNR-assigned group or their N-stage group. This graphical and RMST-based assessment provides the primary clinical validation of reclassification.</w:t>
      </w:r>
    </w:p>
    <w:p>
      <w:pPr>
        <w:pStyle w:val="Heading2"/>
        <w:spacing w:before="280" w:after="120"/>
      </w:pPr>
      <w:r>
        <w:rPr>
          <w:rFonts w:ascii="Arial" w:cs="Arial" w:eastAsia="Arial" w:hAnsi="Arial"/>
          <w:b/>
          <w:bCs/>
          <w:color w:val="0D6E6E"/>
          <w:sz w:val="26"/>
          <w:szCs w:val="26"/>
        </w:rPr>
        <w:t xml:space="preserve">7.6 Phase 5 — Subgroup and Sensitivity Analyses (SO5)</w:t>
      </w:r>
    </w:p>
    <w:p>
      <w:pPr>
        <w:pStyle w:val="Heading3"/>
        <w:spacing w:before="200" w:after="80"/>
      </w:pPr>
      <w:r>
        <w:rPr>
          <w:rFonts w:ascii="Arial" w:cs="Arial" w:eastAsia="Arial" w:hAnsi="Arial"/>
          <w:b/>
          <w:bCs/>
          <w:color w:val="4A4A4A"/>
          <w:sz w:val="23"/>
          <w:szCs w:val="23"/>
        </w:rPr>
        <w:t xml:space="preserve">7.6.1 Pre-specified subgroup analyses</w:t>
      </w:r>
    </w:p>
    <w:p>
      <w:pPr>
        <w:spacing w:before="60" w:after="100" w:line="320"/>
        <w:jc w:val="left"/>
      </w:pPr>
      <w:r>
        <w:rPr>
          <w:rFonts w:ascii="Arial" w:cs="Arial" w:eastAsia="Arial" w:hAnsi="Arial"/>
          <w:b w:val="false"/>
          <w:bCs w:val="false"/>
          <w:i w:val="false"/>
          <w:iCs w:val="false"/>
          <w:color w:val="111111"/>
          <w:sz w:val="22"/>
          <w:szCs w:val="22"/>
        </w:rPr>
        <w:t xml:space="preserve">The following subgroups are pre-specified and will be examined regardless of primary result direction. The interaction test (formal LNR × subgroup variable interaction term in the Cox model) is conducted only if the event count permits (≥ 200 events, per the gating framework). Below that threshold, subgroup analyses are descriptive and exploratory.</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TLE &lt; 12 vs TLE ≥ 12 nodes (H₄ — primary subgroup of mechanistic interest): tests whether LNR's predictive advantage over N-stage is specifically amplified in the sub-optimal harvest stratum. This is the central mechanistic prediction of the LNR hypothesis.</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Colon vs rectum: reflecting distinct biology, surgical technique, and neo-adjuvant treatment eligibility</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T3/T4 vs T1/T2 disease: high versus lower T-stage may modify the prognostic landscape for nodal markers</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N1 (1–3 positive nodes) vs N2 (≥ 4 positive nodes) by AJCC: tests whether LNR reclassification is more consequential within the N1 or N2 stratum</w:t>
      </w:r>
    </w:p>
    <w:p>
      <w:pPr>
        <w:pStyle w:val="Heading3"/>
        <w:spacing w:before="200" w:after="80"/>
      </w:pPr>
      <w:r>
        <w:rPr>
          <w:rFonts w:ascii="Arial" w:cs="Arial" w:eastAsia="Arial" w:hAnsi="Arial"/>
          <w:b/>
          <w:bCs/>
          <w:color w:val="4A4A4A"/>
          <w:sz w:val="23"/>
          <w:szCs w:val="23"/>
        </w:rPr>
        <w:t xml:space="preserve">7.6.2 Pre-specified sensitivity analyses</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Complete case analysis: all analyses repeated without multiple imputation, to assess the impact of the MICE procedure on primary conclusions.</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N1c patient exclusion: all analyses repeated with N1c patients excluded, because these patients have LNR = 0 by definition (no positive nodes in the lymph node sense) yet are classified as N1c by N-stage, creating a structural asymmetry in the comparison.</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Landmark analysis at 6 months: all survival analyses repeated excluding the first 6 months of follow-up (landmark). This removes early deaths predominantly attributable to surgical morbidity or early-progression biology, isolating the tumour-biological prognostic signal from the surgical recovery signal.</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Binary TLE threshold: TLE included as dichotomous (&lt; 12 vs ≥ 12) in all MVA models as an alternative to continuous RCS modelling, to assess sensitivity of primary results to TLE functional form.</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Alternative LNR categorical thresholds: primary analyses repeated using 0.05/0.40 thresholds (sensitivity) and 0.20 single-cutpoint binary classification (sensitivity), to assess whether primary conclusions depend on the specific categorical specification.</w:t>
      </w:r>
    </w:p>
    <w:p>
      <w:pPr>
        <w:spacing w:before="0" w:after="0"/>
      </w:pPr>
      <w:r>
        <w:br/>
      </w:r>
    </w:p>
    <w:p>
      <w:pPr>
        <w:pStyle w:val="Heading1"/>
        <w:pBdr>
          <w:bottom w:val="single" w:color="1B3A6B" w:sz="8"/>
        </w:pBdr>
        <w:spacing w:before="360" w:after="160"/>
      </w:pPr>
      <w:r>
        <w:rPr>
          <w:rFonts w:ascii="Arial" w:cs="Arial" w:eastAsia="Arial" w:hAnsi="Arial"/>
          <w:b/>
          <w:bCs/>
          <w:color w:val="1B3A6B"/>
          <w:sz w:val="32"/>
          <w:szCs w:val="32"/>
        </w:rPr>
        <w:t xml:space="preserve">8. Confounding, Bias, and Quality Control</w:t>
      </w:r>
    </w:p>
    <w:p>
      <w:pPr>
        <w:pStyle w:val="Heading2"/>
        <w:spacing w:before="280" w:after="120"/>
      </w:pPr>
      <w:r>
        <w:rPr>
          <w:rFonts w:ascii="Arial" w:cs="Arial" w:eastAsia="Arial" w:hAnsi="Arial"/>
          <w:b/>
          <w:bCs/>
          <w:color w:val="0D6E6E"/>
          <w:sz w:val="26"/>
          <w:szCs w:val="26"/>
        </w:rPr>
        <w:t xml:space="preserve">8.1 Calendar Period and Institutional Drift (Critical Revision — Critique Point 8)</w:t>
      </w:r>
    </w:p>
    <w:p>
      <w:pPr>
        <w:spacing w:before="60" w:after="100" w:line="320"/>
        <w:jc w:val="left"/>
      </w:pPr>
      <w:r>
        <w:rPr>
          <w:rFonts w:ascii="Arial" w:cs="Arial" w:eastAsia="Arial" w:hAnsi="Arial"/>
          <w:b w:val="false"/>
          <w:bCs w:val="false"/>
          <w:i w:val="false"/>
          <w:iCs w:val="false"/>
          <w:color w:val="111111"/>
          <w:sz w:val="22"/>
          <w:szCs w:val="22"/>
        </w:rPr>
        <w:t xml:space="preserve">A 10–15 year accrual window encompasses major changes in pathological practice, surgical technique, and chemotherapy regimens that are all correlated with calendar time and with TLE. These changes include: the introduction of standardised mesocolic excision (CME) and D3 lymphadenectomy increasing lymph node yield; fat-clearing techniques improving node retrieval; transition from open to laparoscopic surgery affecting perioperative outcomes; the advent of oxaliplatin-based adjuvant chemotherapy (FOLFOX); and COVID-19-related care disruption in 2020–2021. Without adjustment, temporal trends in TLE and outcomes may masquerade as LNR effects.</w:t>
      </w:r>
    </w:p>
    <w:p>
      <w:pPr>
        <w:spacing w:before="60" w:after="100" w:line="320"/>
        <w:jc w:val="left"/>
      </w:pPr>
      <w:r>
        <w:rPr>
          <w:rFonts w:ascii="Arial" w:cs="Arial" w:eastAsia="Arial" w:hAnsi="Arial"/>
          <w:b w:val="false"/>
          <w:bCs w:val="false"/>
          <w:i w:val="false"/>
          <w:iCs w:val="false"/>
          <w:color w:val="111111"/>
          <w:sz w:val="22"/>
          <w:szCs w:val="22"/>
        </w:rPr>
        <w:t xml:space="preserve">Calendar period adjustment is mandatory in all Layer 3 multivariable models, entered as a restricted cubic spline of year of surgery (3 knots at tertiles of the accrual period). This is not a sensitivity analysis — it is a required covariate in the primary model specification. TLE as a function of calendar year is additionally reported as a dedicated descriptive analysis (SO6), providing the South Asian reference data on harvest improvement trends.</w:t>
      </w:r>
    </w:p>
    <w:p>
      <w:pPr>
        <w:pStyle w:val="Heading2"/>
        <w:spacing w:before="280" w:after="120"/>
      </w:pPr>
      <w:r>
        <w:rPr>
          <w:rFonts w:ascii="Arial" w:cs="Arial" w:eastAsia="Arial" w:hAnsi="Arial"/>
          <w:b/>
          <w:bCs/>
          <w:color w:val="0D6E6E"/>
          <w:sz w:val="26"/>
          <w:szCs w:val="26"/>
        </w:rPr>
        <w:t xml:space="preserve">8.2 Multi-Site Clustering</w:t>
      </w:r>
    </w:p>
    <w:p>
      <w:pPr>
        <w:spacing w:before="60" w:after="100" w:line="320"/>
        <w:jc w:val="left"/>
      </w:pPr>
      <w:r>
        <w:rPr>
          <w:rFonts w:ascii="Arial" w:cs="Arial" w:eastAsia="Arial" w:hAnsi="Arial"/>
          <w:b w:val="false"/>
          <w:bCs w:val="false"/>
          <w:i w:val="false"/>
          <w:iCs w:val="false"/>
          <w:color w:val="111111"/>
          <w:sz w:val="22"/>
          <w:szCs w:val="22"/>
        </w:rPr>
        <w:t xml:space="preserve">If recruitment spans multiple centres, outcomes and TLE are clustered by centre due to differences in surgical technique, pathological processing protocols, and patient case-mix. Failing to account for this clustering inflates apparent LNR effects that are in reality site effects. The pre-specified approach: ≤ 3 sites use fixed centre effects (as indicator variables in all MVA models); ≥ 4 sites use a shared-frailty Cox model with centre as the random effect. Intraclass correlation coefficients for TLE and for OS are reported descriptively.</w:t>
      </w:r>
    </w:p>
    <w:p>
      <w:pPr>
        <w:pStyle w:val="Heading2"/>
        <w:spacing w:before="280" w:after="120"/>
      </w:pPr>
      <w:r>
        <w:rPr>
          <w:rFonts w:ascii="Arial" w:cs="Arial" w:eastAsia="Arial" w:hAnsi="Arial"/>
          <w:b/>
          <w:bCs/>
          <w:color w:val="0D6E6E"/>
          <w:sz w:val="26"/>
          <w:szCs w:val="26"/>
        </w:rPr>
        <w:t xml:space="preserve">8.3 Selection Bias Control</w:t>
      </w:r>
    </w:p>
    <w:p>
      <w:pPr>
        <w:spacing w:before="60" w:after="100" w:line="320"/>
        <w:jc w:val="left"/>
      </w:pPr>
      <w:r>
        <w:rPr>
          <w:rFonts w:ascii="Arial" w:cs="Arial" w:eastAsia="Arial" w:hAnsi="Arial"/>
          <w:b w:val="false"/>
          <w:bCs w:val="false"/>
          <w:i w:val="false"/>
          <w:iCs w:val="false"/>
          <w:color w:val="111111"/>
          <w:sz w:val="22"/>
          <w:szCs w:val="22"/>
        </w:rPr>
        <w:t xml:space="preserve">The revised patient flow and retention rules in Section 4.4 are designed to minimise selection bias. Key measures: censoring short-follow-up survivors rather than excluding them; retaining TLE-missing patients in all analyses where TLE is not required; characterising the TLE-missing subgroup to quantify the potential bias introduced by their exclusion from LNR analyses; and producing a transparent CONSORT-style flow diagram.</w:t>
      </w:r>
    </w:p>
    <w:p>
      <w:pPr>
        <w:pStyle w:val="Heading2"/>
        <w:spacing w:before="280" w:after="120"/>
      </w:pPr>
      <w:r>
        <w:rPr>
          <w:rFonts w:ascii="Arial" w:cs="Arial" w:eastAsia="Arial" w:hAnsi="Arial"/>
          <w:b/>
          <w:bCs/>
          <w:color w:val="0D6E6E"/>
          <w:sz w:val="26"/>
          <w:szCs w:val="26"/>
        </w:rPr>
        <w:t xml:space="preserve">8.4 Overfitting Control</w:t>
      </w:r>
    </w:p>
    <w:p>
      <w:pPr>
        <w:spacing w:before="60" w:after="100" w:line="320"/>
        <w:jc w:val="left"/>
      </w:pPr>
      <w:r>
        <w:rPr>
          <w:rFonts w:ascii="Arial" w:cs="Arial" w:eastAsia="Arial" w:hAnsi="Arial"/>
          <w:b w:val="false"/>
          <w:bCs w:val="false"/>
          <w:i w:val="false"/>
          <w:iCs w:val="false"/>
          <w:color w:val="111111"/>
          <w:sz w:val="22"/>
          <w:szCs w:val="22"/>
        </w:rPr>
        <w:t xml:space="preserve">The primary protection against overfitting is the pre-specified event-count gating framework (Section 6.3), which restricts model complexity to what the data can support. Secondary protections include: Ridge-penalised Cox regression when EPV &lt; 10; bootstrap optimism correction for all reported C-statistics; and mandatory pre-registration of the full analytic plan before data extraction, preventing outcome-driven model modification.</w:t>
      </w:r>
    </w:p>
    <w:p>
      <w:pPr>
        <w:pStyle w:val="Heading2"/>
        <w:spacing w:before="280" w:after="120"/>
      </w:pPr>
      <w:r>
        <w:rPr>
          <w:rFonts w:ascii="Arial" w:cs="Arial" w:eastAsia="Arial" w:hAnsi="Arial"/>
          <w:b/>
          <w:bCs/>
          <w:color w:val="0D6E6E"/>
          <w:sz w:val="26"/>
          <w:szCs w:val="26"/>
        </w:rPr>
        <w:t xml:space="preserve">8.5 Pre-Registration and Analytic Lock</w:t>
      </w:r>
    </w:p>
    <w:p>
      <w:pPr>
        <w:spacing w:before="60" w:after="100" w:line="320"/>
        <w:jc w:val="left"/>
      </w:pPr>
      <w:r>
        <w:rPr>
          <w:rFonts w:ascii="Arial" w:cs="Arial" w:eastAsia="Arial" w:hAnsi="Arial"/>
          <w:b w:val="false"/>
          <w:bCs w:val="false"/>
          <w:i w:val="false"/>
          <w:iCs w:val="false"/>
          <w:color w:val="111111"/>
          <w:sz w:val="22"/>
          <w:szCs w:val="22"/>
        </w:rPr>
        <w:t xml:space="preserve">The complete statistical analysis plan — including all pre-specified models, covariate lists, event-count gating tiers, subgroup analyses, sensitivity analyses, and performance metric hierarchy — is registered on the ISRCTN registry or Open Science Framework (OSF) before any patient records are accessed for analysis. The registration timestamp establishes that all analytic decisions were made a priori. This pre-registration is a minimum credibility requirement for the translational objective of contributing to AJCC/RCPath framework discussions; unregistered retrospective studies with positive LNR findings are routinely discounted as post-hoc analyses by staging committees.</w:t>
      </w:r>
    </w:p>
    <w:p>
      <w:pPr>
        <w:spacing w:before="0" w:after="0"/>
      </w:pPr>
      <w:r>
        <w:br/>
      </w:r>
    </w:p>
    <w:p>
      <w:pPr>
        <w:pStyle w:val="Heading1"/>
        <w:pBdr>
          <w:bottom w:val="single" w:color="1B3A6B" w:sz="8"/>
        </w:pBdr>
        <w:spacing w:before="360" w:after="160"/>
      </w:pPr>
      <w:r>
        <w:rPr>
          <w:rFonts w:ascii="Arial" w:cs="Arial" w:eastAsia="Arial" w:hAnsi="Arial"/>
          <w:b/>
          <w:bCs/>
          <w:color w:val="1B3A6B"/>
          <w:sz w:val="32"/>
          <w:szCs w:val="32"/>
        </w:rPr>
        <w:t xml:space="preserve">9. Reporting Standards and Dissemination Strategy</w:t>
      </w:r>
    </w:p>
    <w:p>
      <w:pPr>
        <w:pStyle w:val="Heading2"/>
        <w:spacing w:before="280" w:after="120"/>
      </w:pPr>
      <w:r>
        <w:rPr>
          <w:rFonts w:ascii="Arial" w:cs="Arial" w:eastAsia="Arial" w:hAnsi="Arial"/>
          <w:b/>
          <w:bCs/>
          <w:color w:val="0D6E6E"/>
          <w:sz w:val="26"/>
          <w:szCs w:val="26"/>
        </w:rPr>
        <w:t xml:space="preserve">9.1 Reporting Checklists</w:t>
      </w:r>
    </w:p>
    <w:p>
      <w:pPr>
        <w:spacing w:before="60" w:after="100" w:line="320"/>
        <w:jc w:val="left"/>
      </w:pPr>
      <w:r>
        <w:rPr>
          <w:rFonts w:ascii="Arial" w:cs="Arial" w:eastAsia="Arial" w:hAnsi="Arial"/>
          <w:b w:val="false"/>
          <w:bCs w:val="false"/>
          <w:i w:val="false"/>
          <w:iCs w:val="false"/>
          <w:color w:val="111111"/>
          <w:sz w:val="22"/>
          <w:szCs w:val="22"/>
        </w:rPr>
        <w:t xml:space="preserve">The manuscript will adhere to the following reporting standards, with completed checklists submitted as mandatory supplementary material:</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STROBE (Strengthening the Reporting of Observational Studies in Epidemiology): for the overall observational study design</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TRIPOD (Transparent Reporting of a multivariable prediction model for Individual Prognosis or Diagnosis): for all predictive model development and comparison analyses</w:t>
      </w:r>
    </w:p>
    <w:p>
      <w:pPr>
        <w:spacing w:before="60" w:after="100" w:line="320"/>
        <w:jc w:val="left"/>
      </w:pPr>
      <w:r>
        <w:rPr>
          <w:rFonts w:ascii="Arial" w:cs="Arial" w:eastAsia="Arial" w:hAnsi="Arial"/>
          <w:b w:val="false"/>
          <w:bCs w:val="false"/>
          <w:i w:val="false"/>
          <w:iCs w:val="false"/>
          <w:color w:val="111111"/>
          <w:sz w:val="22"/>
          <w:szCs w:val="22"/>
        </w:rPr>
        <w:t xml:space="preserve">Both checklists are completed and cross-referenced to manuscript sections before submission. Non-adherence to any STROBE or TRIPOD item is explicitly acknowledged and justified in the limitations section.</w:t>
      </w:r>
    </w:p>
    <w:p>
      <w:pPr>
        <w:pStyle w:val="Heading2"/>
        <w:spacing w:before="280" w:after="120"/>
      </w:pPr>
      <w:r>
        <w:rPr>
          <w:rFonts w:ascii="Arial" w:cs="Arial" w:eastAsia="Arial" w:hAnsi="Arial"/>
          <w:b/>
          <w:bCs/>
          <w:color w:val="0D6E6E"/>
          <w:sz w:val="26"/>
          <w:szCs w:val="26"/>
        </w:rPr>
        <w:t xml:space="preserve">9.2 South Asian Contextual Contribution</w:t>
      </w:r>
    </w:p>
    <w:p>
      <w:pPr>
        <w:spacing w:before="60" w:after="100" w:line="320"/>
        <w:jc w:val="left"/>
      </w:pPr>
      <w:r>
        <w:rPr>
          <w:rFonts w:ascii="Arial" w:cs="Arial" w:eastAsia="Arial" w:hAnsi="Arial"/>
          <w:b w:val="false"/>
          <w:bCs w:val="false"/>
          <w:i w:val="false"/>
          <w:iCs w:val="false"/>
          <w:color w:val="111111"/>
          <w:sz w:val="22"/>
          <w:szCs w:val="22"/>
        </w:rPr>
        <w:t xml:space="preserve">The following outputs constitute a standalone contribution to the international staging literature, independent of whether the primary LNR hypothesis is confirmed or refuted:</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Median TLE with IQR and range, compared against published benchmarks from Western series (UK, US, European) and Asian series (Japan, China, Korea)</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Proportion of patients with TLE &lt; 12 (AJCC minimum) and TLE &lt; 8 (stringent criterion), with 95% confidence intervals</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Calendar-period trend in TLE across the accrual window (linear regression of TLE on year of surgery), quantifying institutional improvement in lymph node harvest over time</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Comparison of LNR categorical distribution (Low/Intermediate/High) against published Western distributions, assessing whether the 0.05/0.20 thresholds fall at equivalent quantiles in this South Asian cohort</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Magnitude of LNR's predictive advantage over N-stage in the TLE &lt; 12 subgroup versus the TLE ≥ 12 subgroup — the uniquely South Asian mechanistic finding</w:t>
      </w:r>
    </w:p>
    <w:p>
      <w:pPr>
        <w:spacing w:before="60" w:after="100" w:line="320"/>
        <w:jc w:val="left"/>
      </w:pPr>
      <w:r>
        <w:rPr>
          <w:rFonts w:ascii="Arial" w:cs="Arial" w:eastAsia="Arial" w:hAnsi="Arial"/>
          <w:b w:val="false"/>
          <w:bCs w:val="false"/>
          <w:i w:val="false"/>
          <w:iCs w:val="false"/>
          <w:color w:val="111111"/>
          <w:sz w:val="22"/>
          <w:szCs w:val="22"/>
        </w:rPr>
        <w:t xml:space="preserve">These contextual findings are presented in a dedicated results subsection and highlighted in a translational implications paragraph in the discussion, explicitly addressed to AJCC, RCPath, and ASCO.</w:t>
      </w:r>
    </w:p>
    <w:p>
      <w:pPr>
        <w:pStyle w:val="Heading2"/>
        <w:spacing w:before="280" w:after="120"/>
      </w:pPr>
      <w:r>
        <w:rPr>
          <w:rFonts w:ascii="Arial" w:cs="Arial" w:eastAsia="Arial" w:hAnsi="Arial"/>
          <w:b/>
          <w:bCs/>
          <w:color w:val="0D6E6E"/>
          <w:sz w:val="26"/>
          <w:szCs w:val="26"/>
        </w:rPr>
        <w:t xml:space="preserve">9.3 Dissemination Pathway</w:t>
      </w:r>
    </w:p>
    <w:p>
      <w:pPr>
        <w:pStyle w:val="Heading3"/>
        <w:spacing w:before="200" w:after="80"/>
      </w:pPr>
      <w:r>
        <w:rPr>
          <w:rFonts w:ascii="Arial" w:cs="Arial" w:eastAsia="Arial" w:hAnsi="Arial"/>
          <w:b/>
          <w:bCs/>
          <w:color w:val="4A4A4A"/>
          <w:sz w:val="23"/>
          <w:szCs w:val="23"/>
        </w:rPr>
        <w:t xml:space="preserve">Primary publication</w:t>
      </w:r>
    </w:p>
    <w:p>
      <w:pPr>
        <w:spacing w:before="60" w:after="100" w:line="320"/>
        <w:jc w:val="left"/>
      </w:pPr>
      <w:r>
        <w:rPr>
          <w:rFonts w:ascii="Arial" w:cs="Arial" w:eastAsia="Arial" w:hAnsi="Arial"/>
          <w:b w:val="false"/>
          <w:bCs w:val="false"/>
          <w:i w:val="false"/>
          <w:iCs w:val="false"/>
          <w:color w:val="111111"/>
          <w:sz w:val="22"/>
          <w:szCs w:val="22"/>
        </w:rPr>
        <w:t xml:space="preserve">Target: high-impact peer-reviewed surgical oncology journal (Annals of Surgery, British Journal of Surgery, European Journal of Surgical Oncology, Diseases of the Colon and Rectum, or equivalent). The journal selection prioritises readership overlap with the staging committee audience.</w:t>
      </w:r>
    </w:p>
    <w:p>
      <w:pPr>
        <w:pStyle w:val="Heading3"/>
        <w:spacing w:before="200" w:after="80"/>
      </w:pPr>
      <w:r>
        <w:rPr>
          <w:rFonts w:ascii="Arial" w:cs="Arial" w:eastAsia="Arial" w:hAnsi="Arial"/>
          <w:b/>
          <w:bCs/>
          <w:color w:val="4A4A4A"/>
          <w:sz w:val="23"/>
          <w:szCs w:val="23"/>
        </w:rPr>
        <w:t xml:space="preserve">Translational communications</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AJCC: A concise 2-page summary of findings framed as a proposal for consideration is submitted to the AJCC Colorectal Cancer Expert Panel through the public comment process during the 9th edition revision cycle.</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RCPath: Submission to the RCPath Dataset Working Group for colorectal cancer — the body responsible for histopathological reporting standards in Commonwealth countries including Sri Lanka. LNR as a reportable item in the colorectal cancer minimum dataset is a directly actionable recommendation if findings support it.</w:t>
      </w:r>
    </w:p>
    <w:p>
      <w:pPr>
        <w:pStyle w:val="ListParagraph"/>
        <w:numPr>
          <w:ilvl w:val="0"/>
          <w:numId w:val="2"/>
        </w:numPr>
        <w:spacing w:before="40" w:after="40" w:line="300"/>
      </w:pPr>
      <w:r>
        <w:rPr>
          <w:rFonts w:ascii="Arial" w:cs="Arial" w:eastAsia="Arial" w:hAnsi="Arial"/>
          <w:b w:val="false"/>
          <w:bCs w:val="false"/>
          <w:i w:val="false"/>
          <w:iCs w:val="false"/>
          <w:color w:val="111111"/>
          <w:sz w:val="22"/>
          <w:szCs w:val="22"/>
        </w:rPr>
        <w:t xml:space="preserve">ASCO: Abstract submission to the ASCO Annual Meeting gastrointestinal oncology track; if accepted, the South Asian context is highlighted as a novel population perspective.</w:t>
      </w:r>
    </w:p>
    <w:p>
      <w:pPr>
        <w:pStyle w:val="Heading3"/>
        <w:spacing w:before="200" w:after="80"/>
      </w:pPr>
      <w:r>
        <w:rPr>
          <w:rFonts w:ascii="Arial" w:cs="Arial" w:eastAsia="Arial" w:hAnsi="Arial"/>
          <w:b/>
          <w:bCs/>
          <w:color w:val="4A4A4A"/>
          <w:sz w:val="23"/>
          <w:szCs w:val="23"/>
        </w:rPr>
        <w:t xml:space="preserve">Negative result policy</w:t>
      </w:r>
    </w:p>
    <w:p>
      <w:pPr>
        <w:spacing w:before="60" w:after="100" w:line="320"/>
        <w:jc w:val="left"/>
      </w:pPr>
      <w:r>
        <w:rPr>
          <w:rFonts w:ascii="Arial" w:cs="Arial" w:eastAsia="Arial" w:hAnsi="Arial"/>
          <w:b w:val="false"/>
          <w:bCs w:val="false"/>
          <w:i w:val="false"/>
          <w:iCs w:val="false"/>
          <w:color w:val="111111"/>
          <w:sz w:val="22"/>
          <w:szCs w:val="22"/>
        </w:rPr>
        <w:t xml:space="preserve">If the primary hypothesis is not supported (LNR does not outperform N-stage by the pre-specified ΔC ≥ 0.05 threshold), the findings are reported without qualification. A negative result — that N-stage retains robust prognostic performance even in a South Asian setting with variable lymph node harvest — is equally valuable to the staging committee audience. It validates the resilience of the current staging framework and refutes the claim that N-stage is inadequate in resource-limited settings. The study is designed and powered to generate a definitive answer, not to confirm a hypothesis.</w:t>
      </w:r>
    </w:p>
    <w:p>
      <w:pPr>
        <w:spacing w:before="0" w:after="0"/>
      </w:pPr>
      <w:r>
        <w:br/>
      </w:r>
    </w:p>
    <w:p>
      <w:pPr>
        <w:pStyle w:val="Heading1"/>
        <w:pBdr>
          <w:bottom w:val="single" w:color="1B3A6B" w:sz="8"/>
        </w:pBdr>
        <w:spacing w:before="360" w:after="160"/>
      </w:pPr>
      <w:r>
        <w:rPr>
          <w:rFonts w:ascii="Arial" w:cs="Arial" w:eastAsia="Arial" w:hAnsi="Arial"/>
          <w:b/>
          <w:bCs/>
          <w:color w:val="1B3A6B"/>
          <w:sz w:val="32"/>
          <w:szCs w:val="32"/>
        </w:rPr>
        <w:t xml:space="preserve">10. Anticipated Limitations and Mitigations</w:t>
      </w:r>
    </w:p>
    <w:p>
      <w:pPr>
        <w:spacing w:before="80" w:after="80" w:line="280"/>
        <w:jc w:val="left"/>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top"/>
          </w:tcPr>
          <w:p>
            <w:pPr>
              <w:spacing w:before="0" w:after="0" w:line="280"/>
              <w:jc w:val="left"/>
            </w:pPr>
            <w:r>
              <w:rPr>
                <w:rFonts w:ascii="Arial" w:cs="Arial" w:eastAsia="Arial" w:hAnsi="Arial"/>
                <w:b/>
                <w:bCs/>
                <w:i w:val="false"/>
                <w:iCs w:val="false"/>
                <w:color w:val="FFFFFF"/>
                <w:sz w:val="21"/>
                <w:szCs w:val="21"/>
              </w:rPr>
              <w:t xml:space="preserve">Anticipated limitation</w:t>
            </w:r>
          </w:p>
        </w:tc>
        <w:tc>
          <w:tcPr>
            <w:tcW w:type="dxa" w:w="308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top"/>
          </w:tcPr>
          <w:p>
            <w:pPr>
              <w:spacing w:before="0" w:after="0" w:line="280"/>
              <w:jc w:val="left"/>
            </w:pPr>
            <w:r>
              <w:rPr>
                <w:rFonts w:ascii="Arial" w:cs="Arial" w:eastAsia="Arial" w:hAnsi="Arial"/>
                <w:b/>
                <w:bCs/>
                <w:i w:val="false"/>
                <w:iCs w:val="false"/>
                <w:color w:val="FFFFFF"/>
                <w:sz w:val="21"/>
                <w:szCs w:val="21"/>
              </w:rPr>
              <w:t xml:space="preserve">Impact</w:t>
            </w:r>
          </w:p>
        </w:tc>
        <w:tc>
          <w:tcPr>
            <w:tcW w:type="dxa" w:w="308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top"/>
          </w:tcPr>
          <w:p>
            <w:pPr>
              <w:spacing w:before="0" w:after="0" w:line="280"/>
              <w:jc w:val="left"/>
            </w:pPr>
            <w:r>
              <w:rPr>
                <w:rFonts w:ascii="Arial" w:cs="Arial" w:eastAsia="Arial" w:hAnsi="Arial"/>
                <w:b/>
                <w:bCs/>
                <w:i w:val="false"/>
                <w:iCs w:val="false"/>
                <w:color w:val="FFFFFF"/>
                <w:sz w:val="21"/>
                <w:szCs w:val="21"/>
              </w:rPr>
              <w:t xml:space="preserve">Pre-specified mitigation</w:t>
            </w:r>
          </w:p>
        </w:tc>
      </w:tr>
      <w:tr>
        <w:tc>
          <w:tcPr>
            <w:tcW w:type="dxa" w:w="3200"/>
            <w:tcBorders>
              <w:top w:val="single" w:color="D6DBE4" w:sz="4"/>
              <w:left w:val="single" w:color="D6DBE4" w:sz="4"/>
              <w:bottom w:val="single" w:color="D6DBE4" w:sz="4"/>
              <w:right w:val="single" w:color="D6DBE4" w:sz="4"/>
            </w:tcBorders>
            <w:shd w:fill="F2F4F7"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Retrospective design</w:t>
            </w:r>
          </w:p>
        </w:tc>
        <w:tc>
          <w:tcPr>
            <w:tcW w:type="dxa" w:w="3080"/>
            <w:tcBorders>
              <w:top w:val="single" w:color="D6DBE4" w:sz="4"/>
              <w:left w:val="single" w:color="D6DBE4" w:sz="4"/>
              <w:bottom w:val="single" w:color="D6DBE4" w:sz="4"/>
              <w:right w:val="single" w:color="D6DBE4" w:sz="4"/>
            </w:tcBorders>
            <w:shd w:fill="F2F4F7"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Cannot exclude unmeasured confounding; treatment allocation not randomised</w:t>
            </w:r>
          </w:p>
        </w:tc>
        <w:tc>
          <w:tcPr>
            <w:tcW w:type="dxa" w:w="3080"/>
            <w:tcBorders>
              <w:top w:val="single" w:color="D6DBE4" w:sz="4"/>
              <w:left w:val="single" w:color="D6DBE4" w:sz="4"/>
              <w:bottom w:val="single" w:color="D6DBE4" w:sz="4"/>
              <w:right w:val="single" w:color="D6DBE4" w:sz="4"/>
            </w:tcBorders>
            <w:shd w:fill="F2F4F7"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Bootstrap validation; pre-registration; STROBE/TRIPOD reporting; sensitivity analyses</w:t>
            </w:r>
          </w:p>
        </w:tc>
      </w:tr>
      <w:tr>
        <w:tc>
          <w:tcPr>
            <w:tcW w:type="dxa" w:w="3200"/>
            <w:tcBorders>
              <w:top w:val="single" w:color="D6DBE4" w:sz="4"/>
              <w:left w:val="single" w:color="D6DBE4" w:sz="4"/>
              <w:bottom w:val="single" w:color="D6DBE4" w:sz="4"/>
              <w:right w:val="single" w:color="D6DBE4" w:sz="4"/>
            </w:tcBorders>
            <w:shd w:fill="FFFFFF"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Variable lymph node yield across the accrual period</w:t>
            </w:r>
          </w:p>
        </w:tc>
        <w:tc>
          <w:tcPr>
            <w:tcW w:type="dxa" w:w="3080"/>
            <w:tcBorders>
              <w:top w:val="single" w:color="D6DBE4" w:sz="4"/>
              <w:left w:val="single" w:color="D6DBE4" w:sz="4"/>
              <w:bottom w:val="single" w:color="D6DBE4" w:sz="4"/>
              <w:right w:val="single" w:color="D6DBE4" w:sz="4"/>
            </w:tcBorders>
            <w:shd w:fill="FFFFFF"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TLE trends may confound LNR-survival relationship</w:t>
            </w:r>
          </w:p>
        </w:tc>
        <w:tc>
          <w:tcPr>
            <w:tcW w:type="dxa" w:w="3080"/>
            <w:tcBorders>
              <w:top w:val="single" w:color="D6DBE4" w:sz="4"/>
              <w:left w:val="single" w:color="D6DBE4" w:sz="4"/>
              <w:bottom w:val="single" w:color="D6DBE4" w:sz="4"/>
              <w:right w:val="single" w:color="D6DBE4" w:sz="4"/>
            </w:tcBorders>
            <w:shd w:fill="FFFFFF"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Calendar period RCS spline mandatory in all MVA models; TLE temporal trend characterised descriptively</w:t>
            </w:r>
          </w:p>
        </w:tc>
      </w:tr>
      <w:tr>
        <w:tc>
          <w:tcPr>
            <w:tcW w:type="dxa" w:w="3200"/>
            <w:tcBorders>
              <w:top w:val="single" w:color="D6DBE4" w:sz="4"/>
              <w:left w:val="single" w:color="D6DBE4" w:sz="4"/>
              <w:bottom w:val="single" w:color="D6DBE4" w:sz="4"/>
              <w:right w:val="single" w:color="D6DBE4" w:sz="4"/>
            </w:tcBorders>
            <w:shd w:fill="F2F4F7"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Missing histopathological variables (LVI, PNI, grade)</w:t>
            </w:r>
          </w:p>
        </w:tc>
        <w:tc>
          <w:tcPr>
            <w:tcW w:type="dxa" w:w="3080"/>
            <w:tcBorders>
              <w:top w:val="single" w:color="D6DBE4" w:sz="4"/>
              <w:left w:val="single" w:color="D6DBE4" w:sz="4"/>
              <w:bottom w:val="single" w:color="D6DBE4" w:sz="4"/>
              <w:right w:val="single" w:color="D6DBE4" w:sz="4"/>
            </w:tcBorders>
            <w:shd w:fill="F2F4F7"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Potential for residual confounding; MICE assumptions may not fully hold</w:t>
            </w:r>
          </w:p>
        </w:tc>
        <w:tc>
          <w:tcPr>
            <w:tcW w:type="dxa" w:w="3080"/>
            <w:tcBorders>
              <w:top w:val="single" w:color="D6DBE4" w:sz="4"/>
              <w:left w:val="single" w:color="D6DBE4" w:sz="4"/>
              <w:bottom w:val="single" w:color="D6DBE4" w:sz="4"/>
              <w:right w:val="single" w:color="D6DBE4" w:sz="4"/>
            </w:tcBorders>
            <w:shd w:fill="F2F4F7"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MICE with m ≥ 20; complete case sensitivity analysis; report all missingness proportions</w:t>
            </w:r>
          </w:p>
        </w:tc>
      </w:tr>
      <w:tr>
        <w:tc>
          <w:tcPr>
            <w:tcW w:type="dxa" w:w="3200"/>
            <w:tcBorders>
              <w:top w:val="single" w:color="D6DBE4" w:sz="4"/>
              <w:left w:val="single" w:color="D6DBE4" w:sz="4"/>
              <w:bottom w:val="single" w:color="D6DBE4" w:sz="4"/>
              <w:right w:val="single" w:color="D6DBE4" w:sz="4"/>
            </w:tcBorders>
            <w:shd w:fill="FFFFFF"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Cause-of-death data availability</w:t>
            </w:r>
          </w:p>
        </w:tc>
        <w:tc>
          <w:tcPr>
            <w:tcW w:type="dxa" w:w="3080"/>
            <w:tcBorders>
              <w:top w:val="single" w:color="D6DBE4" w:sz="4"/>
              <w:left w:val="single" w:color="D6DBE4" w:sz="4"/>
              <w:bottom w:val="single" w:color="D6DBE4" w:sz="4"/>
              <w:right w:val="single" w:color="D6DBE4" w:sz="4"/>
            </w:tcBorders>
            <w:shd w:fill="FFFFFF"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CSS endpoint may not be feasible; Fine-Gray for DFS requires reliable death classification</w:t>
            </w:r>
          </w:p>
        </w:tc>
        <w:tc>
          <w:tcPr>
            <w:tcW w:type="dxa" w:w="3080"/>
            <w:tcBorders>
              <w:top w:val="single" w:color="D6DBE4" w:sz="4"/>
              <w:left w:val="single" w:color="D6DBE4" w:sz="4"/>
              <w:bottom w:val="single" w:color="D6DBE4" w:sz="4"/>
              <w:right w:val="single" w:color="D6DBE4" w:sz="4"/>
            </w:tcBorders>
            <w:shd w:fill="FFFFFF"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CSS conditional on ≥ 85% completeness; if unavailable, replaced by descriptive analysis</w:t>
            </w:r>
          </w:p>
        </w:tc>
      </w:tr>
      <w:tr>
        <w:tc>
          <w:tcPr>
            <w:tcW w:type="dxa" w:w="3200"/>
            <w:tcBorders>
              <w:top w:val="single" w:color="D6DBE4" w:sz="4"/>
              <w:left w:val="single" w:color="D6DBE4" w:sz="4"/>
              <w:bottom w:val="single" w:color="D6DBE4" w:sz="4"/>
              <w:right w:val="single" w:color="D6DBE4" w:sz="4"/>
            </w:tcBorders>
            <w:shd w:fill="F2F4F7"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Chemotherapy timing data</w:t>
            </w:r>
          </w:p>
        </w:tc>
        <w:tc>
          <w:tcPr>
            <w:tcW w:type="dxa" w:w="3080"/>
            <w:tcBorders>
              <w:top w:val="single" w:color="D6DBE4" w:sz="4"/>
              <w:left w:val="single" w:color="D6DBE4" w:sz="4"/>
              <w:bottom w:val="single" w:color="D6DBE4" w:sz="4"/>
              <w:right w:val="single" w:color="D6DBE4" w:sz="4"/>
            </w:tcBorders>
            <w:shd w:fill="F2F4F7"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Immortal time bias if chemotherapy included as fixed covariate</w:t>
            </w:r>
          </w:p>
        </w:tc>
        <w:tc>
          <w:tcPr>
            <w:tcW w:type="dxa" w:w="3080"/>
            <w:tcBorders>
              <w:top w:val="single" w:color="D6DBE4" w:sz="4"/>
              <w:left w:val="single" w:color="D6DBE4" w:sz="4"/>
              <w:bottom w:val="single" w:color="D6DBE4" w:sz="4"/>
              <w:right w:val="single" w:color="D6DBE4" w:sz="4"/>
            </w:tcBorders>
            <w:shd w:fill="F2F4F7"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Pre-specified decision rule: time-varying if dates available; sensitivity only if not</w:t>
            </w:r>
          </w:p>
        </w:tc>
      </w:tr>
      <w:tr>
        <w:tc>
          <w:tcPr>
            <w:tcW w:type="dxa" w:w="3200"/>
            <w:tcBorders>
              <w:top w:val="single" w:color="D6DBE4" w:sz="4"/>
              <w:left w:val="single" w:color="D6DBE4" w:sz="4"/>
              <w:bottom w:val="single" w:color="D6DBE4" w:sz="4"/>
              <w:right w:val="single" w:color="D6DBE4" w:sz="4"/>
            </w:tcBorders>
            <w:shd w:fill="FFFFFF"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Single-centre data (if multi-site recruitment not achieved)</w:t>
            </w:r>
          </w:p>
        </w:tc>
        <w:tc>
          <w:tcPr>
            <w:tcW w:type="dxa" w:w="3080"/>
            <w:tcBorders>
              <w:top w:val="single" w:color="D6DBE4" w:sz="4"/>
              <w:left w:val="single" w:color="D6DBE4" w:sz="4"/>
              <w:bottom w:val="single" w:color="D6DBE4" w:sz="4"/>
              <w:right w:val="single" w:color="D6DBE4" w:sz="4"/>
            </w:tcBorders>
            <w:shd w:fill="FFFFFF"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Reduced generalisability; possible institutional clustering effects</w:t>
            </w:r>
          </w:p>
        </w:tc>
        <w:tc>
          <w:tcPr>
            <w:tcW w:type="dxa" w:w="3080"/>
            <w:tcBorders>
              <w:top w:val="single" w:color="D6DBE4" w:sz="4"/>
              <w:left w:val="single" w:color="D6DBE4" w:sz="4"/>
              <w:bottom w:val="single" w:color="D6DBE4" w:sz="4"/>
              <w:right w:val="single" w:color="D6DBE4" w:sz="4"/>
            </w:tcBorders>
            <w:shd w:fill="FFFFFF"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Fixed centre effects in all MVA; encourage multi-site collaboration; clearly state as limitation</w:t>
            </w:r>
          </w:p>
        </w:tc>
      </w:tr>
      <w:tr>
        <w:tc>
          <w:tcPr>
            <w:tcW w:type="dxa" w:w="3200"/>
            <w:tcBorders>
              <w:top w:val="single" w:color="D6DBE4" w:sz="4"/>
              <w:left w:val="single" w:color="D6DBE4" w:sz="4"/>
              <w:bottom w:val="single" w:color="D6DBE4" w:sz="4"/>
              <w:right w:val="single" w:color="D6DBE4" w:sz="4"/>
            </w:tcBorders>
            <w:shd w:fill="F2F4F7"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Event count may fall in minimum-viable tier</w:t>
            </w:r>
          </w:p>
        </w:tc>
        <w:tc>
          <w:tcPr>
            <w:tcW w:type="dxa" w:w="3080"/>
            <w:tcBorders>
              <w:top w:val="single" w:color="D6DBE4" w:sz="4"/>
              <w:left w:val="single" w:color="D6DBE4" w:sz="4"/>
              <w:bottom w:val="single" w:color="D6DBE4" w:sz="4"/>
              <w:right w:val="single" w:color="D6DBE4" w:sz="4"/>
            </w:tcBorders>
            <w:shd w:fill="F2F4F7"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Interaction tests (H₄) and subgroup inference not possible</w:t>
            </w:r>
          </w:p>
        </w:tc>
        <w:tc>
          <w:tcPr>
            <w:tcW w:type="dxa" w:w="3080"/>
            <w:tcBorders>
              <w:top w:val="single" w:color="D6DBE4" w:sz="4"/>
              <w:left w:val="single" w:color="D6DBE4" w:sz="4"/>
              <w:bottom w:val="single" w:color="D6DBE4" w:sz="4"/>
              <w:right w:val="single" w:color="D6DBE4" w:sz="4"/>
            </w:tcBorders>
            <w:shd w:fill="F2F4F7"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Event-count gating framework pre-committed; findings reported at appropriate epistemic level</w:t>
            </w:r>
          </w:p>
        </w:tc>
      </w:tr>
      <w:tr>
        <w:tc>
          <w:tcPr>
            <w:tcW w:type="dxa" w:w="3200"/>
            <w:tcBorders>
              <w:top w:val="single" w:color="D6DBE4" w:sz="4"/>
              <w:left w:val="single" w:color="D6DBE4" w:sz="4"/>
              <w:bottom w:val="single" w:color="D6DBE4" w:sz="4"/>
              <w:right w:val="single" w:color="D6DBE4" w:sz="4"/>
            </w:tcBorders>
            <w:shd w:fill="FFFFFF"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Western-derived LNR cutpoints (0.05/0.20) may not transport</w:t>
            </w:r>
          </w:p>
        </w:tc>
        <w:tc>
          <w:tcPr>
            <w:tcW w:type="dxa" w:w="3080"/>
            <w:tcBorders>
              <w:top w:val="single" w:color="D6DBE4" w:sz="4"/>
              <w:left w:val="single" w:color="D6DBE4" w:sz="4"/>
              <w:bottom w:val="single" w:color="D6DBE4" w:sz="4"/>
              <w:right w:val="single" w:color="D6DBE4" w:sz="4"/>
            </w:tcBorders>
            <w:shd w:fill="FFFFFF"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Categories may not represent same quantiles of LNR distribution in this population</w:t>
            </w:r>
          </w:p>
        </w:tc>
        <w:tc>
          <w:tcPr>
            <w:tcW w:type="dxa" w:w="3080"/>
            <w:tcBorders>
              <w:top w:val="single" w:color="D6DBE4" w:sz="4"/>
              <w:left w:val="single" w:color="D6DBE4" w:sz="4"/>
              <w:bottom w:val="single" w:color="D6DBE4" w:sz="4"/>
              <w:right w:val="single" w:color="D6DBE4" w:sz="4"/>
            </w:tcBorders>
            <w:shd w:fill="FFFFFF" w:val="clear"/>
            <w:tcMar>
              <w:top w:type="dxa" w:w="100"/>
              <w:left w:type="dxa" w:w="140"/>
              <w:bottom w:type="dxa" w:w="100"/>
              <w:right w:type="dxa" w:w="140"/>
            </w:tcMar>
            <w:vAlign w:val="top"/>
          </w:tcPr>
          <w:p>
            <w:pPr>
              <w:spacing w:before="0" w:after="0" w:line="280"/>
              <w:jc w:val="left"/>
            </w:pPr>
            <w:r>
              <w:rPr>
                <w:rFonts w:ascii="Arial" w:cs="Arial" w:eastAsia="Arial" w:hAnsi="Arial"/>
                <w:b w:val="false"/>
                <w:bCs w:val="false"/>
                <w:i w:val="false"/>
                <w:iCs w:val="false"/>
                <w:color w:val="111111"/>
                <w:sz w:val="20"/>
                <w:szCs w:val="20"/>
              </w:rPr>
              <w:t xml:space="preserve">Continuous RCS primary; categories secondary; exploratory data-driven cutpoints in appendix</w:t>
            </w:r>
          </w:p>
        </w:tc>
      </w:tr>
    </w:tbl>
    <w:p>
      <w:pPr>
        <w:spacing w:before="0" w:after="0"/>
      </w:pPr>
      <w:r>
        <w:br/>
      </w:r>
    </w:p>
    <w:p>
      <w:pPr>
        <w:pStyle w:val="Heading1"/>
        <w:pBdr>
          <w:bottom w:val="single" w:color="1B3A6B" w:sz="8"/>
        </w:pBdr>
        <w:spacing w:before="360" w:after="160"/>
      </w:pPr>
      <w:r>
        <w:rPr>
          <w:rFonts w:ascii="Arial" w:cs="Arial" w:eastAsia="Arial" w:hAnsi="Arial"/>
          <w:b/>
          <w:bCs/>
          <w:color w:val="1B3A6B"/>
          <w:sz w:val="32"/>
          <w:szCs w:val="32"/>
        </w:rPr>
        <w:t xml:space="preserve">11. Summary and Protocol Integrity Statement</w:t>
      </w:r>
    </w:p>
    <w:p>
      <w:pPr>
        <w:pStyle w:val="Heading2"/>
        <w:spacing w:before="280" w:after="120"/>
      </w:pPr>
      <w:r>
        <w:rPr>
          <w:rFonts w:ascii="Arial" w:cs="Arial" w:eastAsia="Arial" w:hAnsi="Arial"/>
          <w:b/>
          <w:bCs/>
          <w:color w:val="0D6E6E"/>
          <w:sz w:val="26"/>
          <w:szCs w:val="26"/>
        </w:rPr>
        <w:t xml:space="preserve">11.1 What This Protocol Resolves</w:t>
      </w:r>
    </w:p>
    <w:p>
      <w:pPr>
        <w:spacing w:before="60" w:after="100" w:line="320"/>
        <w:jc w:val="left"/>
      </w:pPr>
      <w:r>
        <w:rPr>
          <w:rFonts w:ascii="Arial" w:cs="Arial" w:eastAsia="Arial" w:hAnsi="Arial"/>
          <w:b w:val="false"/>
          <w:bCs w:val="false"/>
          <w:i w:val="false"/>
          <w:iCs w:val="false"/>
          <w:color w:val="111111"/>
          <w:sz w:val="22"/>
          <w:szCs w:val="22"/>
        </w:rPr>
        <w:t xml:space="preserve">This protocol is the second-generation version of the original research plan, revised after systematic critical evaluation by an independent methodological review. Nine critique points were assessed; all nine identified valid concerns that have been incorporated into substantive protocol revisions. The key changes from the first version are:</w:t>
      </w:r>
    </w:p>
    <w:p>
      <w:pPr>
        <w:pStyle w:val="ListParagraph"/>
        <w:numPr>
          <w:ilvl w:val="0"/>
          <w:numId w:val="3"/>
        </w:numPr>
        <w:spacing w:before="60" w:after="60" w:line="300"/>
      </w:pPr>
      <w:r>
        <w:rPr>
          <w:rFonts w:ascii="Arial" w:cs="Arial" w:eastAsia="Arial" w:hAnsi="Arial"/>
          <w:b w:val="false"/>
          <w:bCs w:val="false"/>
          <w:i w:val="false"/>
          <w:iCs w:val="false"/>
          <w:color w:val="111111"/>
          <w:sz w:val="22"/>
          <w:szCs w:val="22"/>
        </w:rPr>
        <w:t xml:space="preserve">The primary estimand is now explicitly declared: incremental predictive performance (ΔC-statistic and DCA net benefit), not independent prognostic association. These are answerable by different analyses and speak to different audiences; the estimand declaration ensures the primary analysis is aligned with the translational objective.</w:t>
      </w:r>
    </w:p>
    <w:p>
      <w:pPr>
        <w:pStyle w:val="ListParagraph"/>
        <w:numPr>
          <w:ilvl w:val="0"/>
          <w:numId w:val="3"/>
        </w:numPr>
        <w:spacing w:before="60" w:after="60" w:line="300"/>
      </w:pPr>
      <w:r>
        <w:rPr>
          <w:rFonts w:ascii="Arial" w:cs="Arial" w:eastAsia="Arial" w:hAnsi="Arial"/>
          <w:b w:val="false"/>
          <w:bCs w:val="false"/>
          <w:i w:val="false"/>
          <w:iCs w:val="false"/>
          <w:color w:val="111111"/>
          <w:sz w:val="22"/>
          <w:szCs w:val="22"/>
        </w:rPr>
        <w:t xml:space="preserve">Continuous LNR modelled with restricted cubic splines is the primary analytic form. Categorical LNR tiers are retained as a secondary communication layer, not as the primary basis of inference.</w:t>
      </w:r>
    </w:p>
    <w:p>
      <w:pPr>
        <w:pStyle w:val="ListParagraph"/>
        <w:numPr>
          <w:ilvl w:val="0"/>
          <w:numId w:val="3"/>
        </w:numPr>
        <w:spacing w:before="60" w:after="60" w:line="300"/>
      </w:pPr>
      <w:r>
        <w:rPr>
          <w:rFonts w:ascii="Arial" w:cs="Arial" w:eastAsia="Arial" w:hAnsi="Arial"/>
          <w:b w:val="false"/>
          <w:bCs w:val="false"/>
          <w:i w:val="false"/>
          <w:iCs w:val="false"/>
          <w:color w:val="111111"/>
          <w:sz w:val="22"/>
          <w:szCs w:val="22"/>
        </w:rPr>
        <w:t xml:space="preserve">A three-layer symmetric model comparison framework replaces the original two-model structure, isolating the contribution of harvest volume (TLE) from LNR's ratio information and making the comparison fully interpretable at each level of adjustment.</w:t>
      </w:r>
    </w:p>
    <w:p>
      <w:pPr>
        <w:pStyle w:val="ListParagraph"/>
        <w:numPr>
          <w:ilvl w:val="0"/>
          <w:numId w:val="3"/>
        </w:numPr>
        <w:spacing w:before="60" w:after="60" w:line="300"/>
      </w:pPr>
      <w:r>
        <w:rPr>
          <w:rFonts w:ascii="Arial" w:cs="Arial" w:eastAsia="Arial" w:hAnsi="Arial"/>
          <w:b w:val="false"/>
          <w:bCs w:val="false"/>
          <w:i w:val="false"/>
          <w:iCs w:val="false"/>
          <w:color w:val="111111"/>
          <w:sz w:val="22"/>
          <w:szCs w:val="22"/>
        </w:rPr>
        <w:t xml:space="preserve">A pre-specified event-count gating table assigns permitted model complexity before any outcome modelling begins. This is a hard constraint, not a guideline.</w:t>
      </w:r>
    </w:p>
    <w:p>
      <w:pPr>
        <w:pStyle w:val="ListParagraph"/>
        <w:numPr>
          <w:ilvl w:val="0"/>
          <w:numId w:val="3"/>
        </w:numPr>
        <w:spacing w:before="60" w:after="60" w:line="300"/>
      </w:pPr>
      <w:r>
        <w:rPr>
          <w:rFonts w:ascii="Arial" w:cs="Arial" w:eastAsia="Arial" w:hAnsi="Arial"/>
          <w:b w:val="false"/>
          <w:bCs w:val="false"/>
          <w:i w:val="false"/>
          <w:iCs w:val="false"/>
          <w:color w:val="111111"/>
          <w:sz w:val="22"/>
          <w:szCs w:val="22"/>
        </w:rPr>
        <w:t xml:space="preserve">Fine-Gray competing-risks models are mandated for DFS and CSS secondary endpoints. Cox models for these outcomes are retained as sensitivity analyses only.</w:t>
      </w:r>
    </w:p>
    <w:p>
      <w:pPr>
        <w:pStyle w:val="ListParagraph"/>
        <w:numPr>
          <w:ilvl w:val="0"/>
          <w:numId w:val="3"/>
        </w:numPr>
        <w:spacing w:before="60" w:after="60" w:line="300"/>
      </w:pPr>
      <w:r>
        <w:rPr>
          <w:rFonts w:ascii="Arial" w:cs="Arial" w:eastAsia="Arial" w:hAnsi="Arial"/>
          <w:b w:val="false"/>
          <w:bCs w:val="false"/>
          <w:i w:val="false"/>
          <w:iCs w:val="false"/>
          <w:color w:val="111111"/>
          <w:sz w:val="22"/>
          <w:szCs w:val="22"/>
        </w:rPr>
        <w:t xml:space="preserve">Decision-curve analysis is elevated to co-primary status alongside C-statistic. NRI and IDI are demoted to appendix-only exploratory analyses.</w:t>
      </w:r>
    </w:p>
    <w:p>
      <w:pPr>
        <w:pStyle w:val="ListParagraph"/>
        <w:numPr>
          <w:ilvl w:val="0"/>
          <w:numId w:val="3"/>
        </w:numPr>
        <w:spacing w:before="60" w:after="60" w:line="300"/>
      </w:pPr>
      <w:r>
        <w:rPr>
          <w:rFonts w:ascii="Arial" w:cs="Arial" w:eastAsia="Arial" w:hAnsi="Arial"/>
          <w:b w:val="false"/>
          <w:bCs w:val="false"/>
          <w:i w:val="false"/>
          <w:iCs w:val="false"/>
          <w:color w:val="111111"/>
          <w:sz w:val="22"/>
          <w:szCs w:val="22"/>
        </w:rPr>
        <w:t xml:space="preserve">Chemotherapy is handled by a pre-specified decision rule based on data availability, resolving the immortal time bias concern.</w:t>
      </w:r>
    </w:p>
    <w:p>
      <w:pPr>
        <w:pStyle w:val="ListParagraph"/>
        <w:numPr>
          <w:ilvl w:val="0"/>
          <w:numId w:val="3"/>
        </w:numPr>
        <w:spacing w:before="60" w:after="60" w:line="300"/>
      </w:pPr>
      <w:r>
        <w:rPr>
          <w:rFonts w:ascii="Arial" w:cs="Arial" w:eastAsia="Arial" w:hAnsi="Arial"/>
          <w:b w:val="false"/>
          <w:bCs w:val="false"/>
          <w:i w:val="false"/>
          <w:iCs w:val="false"/>
          <w:color w:val="111111"/>
          <w:sz w:val="22"/>
          <w:szCs w:val="22"/>
        </w:rPr>
        <w:t xml:space="preserve">Calendar period of surgery is a mandatory covariate (restricted cubic spline) in all Layer 3 models, addressing era-related confounding across the 10–15 year accrual window.</w:t>
      </w:r>
    </w:p>
    <w:p>
      <w:pPr>
        <w:pStyle w:val="ListParagraph"/>
        <w:numPr>
          <w:ilvl w:val="0"/>
          <w:numId w:val="3"/>
        </w:numPr>
        <w:spacing w:before="60" w:after="60" w:line="300"/>
      </w:pPr>
      <w:r>
        <w:rPr>
          <w:rFonts w:ascii="Arial" w:cs="Arial" w:eastAsia="Arial" w:hAnsi="Arial"/>
          <w:b w:val="false"/>
          <w:bCs w:val="false"/>
          <w:i w:val="false"/>
          <w:iCs w:val="false"/>
          <w:color w:val="111111"/>
          <w:sz w:val="22"/>
          <w:szCs w:val="22"/>
        </w:rPr>
        <w:t xml:space="preserve">Patient flow and exclusion criteria are revised: short-follow-up survivors are censored not excluded; TLE-missing patients are retained and characterised; a CONSORT-style flow diagram is a mandatory primary reporting element.</w:t>
      </w:r>
    </w:p>
    <w:p>
      <w:pPr>
        <w:pStyle w:val="Heading2"/>
        <w:spacing w:before="280" w:after="120"/>
      </w:pPr>
      <w:r>
        <w:rPr>
          <w:rFonts w:ascii="Arial" w:cs="Arial" w:eastAsia="Arial" w:hAnsi="Arial"/>
          <w:b/>
          <w:bCs/>
          <w:color w:val="0D6E6E"/>
          <w:sz w:val="26"/>
          <w:szCs w:val="26"/>
        </w:rPr>
        <w:t xml:space="preserve">11.2 Protocol Integrity Commitments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spacing w:before="80" w:after="80" w:line="280"/>
              <w:jc w:val="center"/>
            </w:pPr>
            <w:r>
              <w:rPr>
                <w:rFonts w:ascii="Arial" w:cs="Arial" w:eastAsia="Arial" w:hAnsi="Arial"/>
                <w:b/>
                <w:bCs/>
                <w:i w:val="false"/>
                <w:iCs w:val="false"/>
                <w:color w:val="FFFFFF"/>
                <w:sz w:val="20"/>
                <w:szCs w:val="20"/>
              </w:rPr>
              <w:t xml:space="preserve">PRE-REGISTRATION</w:t>
            </w:r>
          </w:p>
        </w:tc>
        <w:tc>
          <w:tcPr>
            <w:tcW w:type="dxa" w:w="8960"/>
            <w:tcBorders>
              <w:top w:val="single" w:color="D6DBE4" w:sz="4"/>
              <w:left w:val="single" w:color="D6DBE4" w:sz="4"/>
              <w:bottom w:val="single" w:color="D6DBE4" w:sz="4"/>
              <w:right w:val="single" w:color="D6DBE4" w:sz="4"/>
            </w:tcBorders>
            <w:shd w:fill="F8F9FC" w:val="clear"/>
            <w:tcMar>
              <w:top w:type="dxa" w:w="80"/>
              <w:left w:type="dxa" w:w="140"/>
              <w:bottom w:type="dxa" w:w="80"/>
              <w:right w:type="dxa" w:w="140"/>
            </w:tcMar>
          </w:tcPr>
          <w:p>
            <w:pPr>
              <w:spacing w:before="60" w:after="60" w:line="300"/>
              <w:jc w:val="left"/>
            </w:pPr>
            <w:r>
              <w:rPr>
                <w:rFonts w:ascii="Arial" w:cs="Arial" w:eastAsia="Arial" w:hAnsi="Arial"/>
                <w:b w:val="false"/>
                <w:bCs w:val="false"/>
                <w:i w:val="false"/>
                <w:iCs w:val="false"/>
                <w:color w:val="111111"/>
                <w:sz w:val="20"/>
                <w:szCs w:val="20"/>
              </w:rPr>
              <w:t xml:space="preserve">The complete statistical analysis plan — including all pre-specified models, covariate lists, event-count gating tiers, subgroup analyses, sensitivity analyses, outcome definitions, and performance metric hierarchy — is registered on ISRCTN or OSF before any patient records are accessed for analysis.</w:t>
            </w:r>
          </w:p>
        </w:tc>
      </w:tr>
    </w:tbl>
    <w:p>
      <w:pPr>
        <w:spacing w:before="80" w:after="80" w:line="280"/>
        <w:jc w:val="left"/>
      </w:pPr>
      <w:r>
        <w:rPr>
          <w:rFonts w:ascii="Arial" w:cs="Arial" w:eastAsia="Arial" w:hAnsi="Arial"/>
          <w:b w:val="false"/>
          <w:bCs w:val="false"/>
          <w:i w:val="false"/>
          <w:iCs w:val="false"/>
          <w:color w:val="111111"/>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single" w:color="8B1A1A" w:sz="4"/>
              <w:left w:val="single" w:color="8B1A1A" w:sz="4"/>
              <w:bottom w:val="single" w:color="8B1A1A" w:sz="4"/>
              <w:right w:val="single" w:color="8B1A1A" w:sz="4"/>
            </w:tcBorders>
            <w:shd w:fill="8B1A1A" w:val="clear"/>
            <w:tcMar>
              <w:top w:type="dxa" w:w="80"/>
              <w:left w:type="dxa" w:w="100"/>
              <w:bottom w:type="dxa" w:w="80"/>
              <w:right w:type="dxa" w:w="100"/>
            </w:tcMar>
          </w:tcPr>
          <w:p>
            <w:pPr>
              <w:spacing w:before="80" w:after="80" w:line="280"/>
              <w:jc w:val="center"/>
            </w:pPr>
            <w:r>
              <w:rPr>
                <w:rFonts w:ascii="Arial" w:cs="Arial" w:eastAsia="Arial" w:hAnsi="Arial"/>
                <w:b/>
                <w:bCs/>
                <w:i w:val="false"/>
                <w:iCs w:val="false"/>
                <w:color w:val="FFFFFF"/>
                <w:sz w:val="20"/>
                <w:szCs w:val="20"/>
              </w:rPr>
              <w:t xml:space="preserve">ANALYTIC LOCK</w:t>
            </w:r>
          </w:p>
        </w:tc>
        <w:tc>
          <w:tcPr>
            <w:tcW w:type="dxa" w:w="8960"/>
            <w:tcBorders>
              <w:top w:val="single" w:color="D6DBE4" w:sz="4"/>
              <w:left w:val="single" w:color="D6DBE4" w:sz="4"/>
              <w:bottom w:val="single" w:color="D6DBE4" w:sz="4"/>
              <w:right w:val="single" w:color="D6DBE4" w:sz="4"/>
            </w:tcBorders>
            <w:shd w:fill="F8F9FC" w:val="clear"/>
            <w:tcMar>
              <w:top w:type="dxa" w:w="80"/>
              <w:left w:type="dxa" w:w="140"/>
              <w:bottom w:type="dxa" w:w="80"/>
              <w:right w:type="dxa" w:w="140"/>
            </w:tcMar>
          </w:tcPr>
          <w:p>
            <w:pPr>
              <w:spacing w:before="60" w:after="60" w:line="300"/>
              <w:jc w:val="left"/>
            </w:pPr>
            <w:r>
              <w:rPr>
                <w:rFonts w:ascii="Arial" w:cs="Arial" w:eastAsia="Arial" w:hAnsi="Arial"/>
                <w:b w:val="false"/>
                <w:bCs w:val="false"/>
                <w:i w:val="false"/>
                <w:iCs w:val="false"/>
                <w:color w:val="111111"/>
                <w:sz w:val="20"/>
                <w:szCs w:val="20"/>
              </w:rPr>
              <w:t xml:space="preserve">No modifications to the primary estimand, primary model specification, primary performance metrics, or event-count gating tiers are permitted after data extraction begins. Any post-hoc additions are labelled explicitly as unregistered post-hoc analyses and are not used to support primary conclusions.</w:t>
            </w:r>
          </w:p>
        </w:tc>
      </w:tr>
    </w:tbl>
    <w:p>
      <w:pPr>
        <w:spacing w:before="80" w:after="80" w:line="280"/>
        <w:jc w:val="left"/>
      </w:pPr>
      <w:r>
        <w:rPr>
          <w:rFonts w:ascii="Arial" w:cs="Arial" w:eastAsia="Arial" w:hAnsi="Arial"/>
          <w:b w:val="false"/>
          <w:bCs w:val="false"/>
          <w:i w:val="false"/>
          <w:iCs w:val="false"/>
          <w:color w:val="111111"/>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single" w:color="0D6E6E" w:sz="4"/>
              <w:left w:val="single" w:color="0D6E6E" w:sz="4"/>
              <w:bottom w:val="single" w:color="0D6E6E" w:sz="4"/>
              <w:right w:val="single" w:color="0D6E6E" w:sz="4"/>
            </w:tcBorders>
            <w:shd w:fill="0D6E6E" w:val="clear"/>
            <w:tcMar>
              <w:top w:type="dxa" w:w="80"/>
              <w:left w:type="dxa" w:w="100"/>
              <w:bottom w:type="dxa" w:w="80"/>
              <w:right w:type="dxa" w:w="100"/>
            </w:tcMar>
          </w:tcPr>
          <w:p>
            <w:pPr>
              <w:spacing w:before="80" w:after="80" w:line="280"/>
              <w:jc w:val="center"/>
            </w:pPr>
            <w:r>
              <w:rPr>
                <w:rFonts w:ascii="Arial" w:cs="Arial" w:eastAsia="Arial" w:hAnsi="Arial"/>
                <w:b/>
                <w:bCs/>
                <w:i w:val="false"/>
                <w:iCs w:val="false"/>
                <w:color w:val="FFFFFF"/>
                <w:sz w:val="20"/>
                <w:szCs w:val="20"/>
              </w:rPr>
              <w:t xml:space="preserve">NEGATIVE RESULT COMMITMENT</w:t>
            </w:r>
          </w:p>
        </w:tc>
        <w:tc>
          <w:tcPr>
            <w:tcW w:type="dxa" w:w="8960"/>
            <w:tcBorders>
              <w:top w:val="single" w:color="D6DBE4" w:sz="4"/>
              <w:left w:val="single" w:color="D6DBE4" w:sz="4"/>
              <w:bottom w:val="single" w:color="D6DBE4" w:sz="4"/>
              <w:right w:val="single" w:color="D6DBE4" w:sz="4"/>
            </w:tcBorders>
            <w:shd w:fill="F8F9FC" w:val="clear"/>
            <w:tcMar>
              <w:top w:type="dxa" w:w="80"/>
              <w:left w:type="dxa" w:w="140"/>
              <w:bottom w:type="dxa" w:w="80"/>
              <w:right w:type="dxa" w:w="140"/>
            </w:tcMar>
          </w:tcPr>
          <w:p>
            <w:pPr>
              <w:spacing w:before="60" w:after="60" w:line="300"/>
              <w:jc w:val="left"/>
            </w:pPr>
            <w:r>
              <w:rPr>
                <w:rFonts w:ascii="Arial" w:cs="Arial" w:eastAsia="Arial" w:hAnsi="Arial"/>
                <w:b w:val="false"/>
                <w:bCs w:val="false"/>
                <w:i w:val="false"/>
                <w:iCs w:val="false"/>
                <w:color w:val="111111"/>
                <w:sz w:val="20"/>
                <w:szCs w:val="20"/>
              </w:rPr>
              <w:t xml:space="preserve">If the primary hypothesis is not supported, findings are submitted for publication without delay. The study is designed to generate a definitive answer, not to confirm a hypothesis.</w:t>
            </w:r>
          </w:p>
        </w:tc>
      </w:tr>
    </w:tbl>
    <w:p>
      <w:pPr>
        <w:spacing w:before="80" w:after="80" w:line="280"/>
        <w:jc w:val="left"/>
      </w:pPr>
      <w:r>
        <w:rPr>
          <w:rFonts w:ascii="Arial" w:cs="Arial" w:eastAsia="Arial" w:hAnsi="Arial"/>
          <w:b w:val="false"/>
          <w:bCs w:val="false"/>
          <w:i w:val="false"/>
          <w:iCs w:val="false"/>
          <w:color w:val="111111"/>
          <w:sz w:val="22"/>
          <w:szCs w:val="22"/>
        </w:rPr>
        <w:t xml:space="preserve"/>
      </w:r>
    </w:p>
    <w:p>
      <w:pPr>
        <w:spacing w:before="80" w:after="80" w:line="280"/>
        <w:jc w:val="left"/>
      </w:pPr>
      <w:r>
        <w:rPr>
          <w:rFonts w:ascii="Arial" w:cs="Arial" w:eastAsia="Arial" w:hAnsi="Arial"/>
          <w:b w:val="false"/>
          <w:bCs w:val="false"/>
          <w:i w:val="false"/>
          <w:iCs w:val="false"/>
          <w:color w:val="111111"/>
          <w:sz w:val="22"/>
          <w:szCs w:val="22"/>
        </w:rPr>
        <w:t xml:space="preserve"/>
      </w:r>
    </w:p>
    <w:p>
      <w:pPr>
        <w:pStyle w:val="Heading2"/>
        <w:spacing w:before="280" w:after="120"/>
      </w:pPr>
      <w:r>
        <w:rPr>
          <w:rFonts w:ascii="Arial" w:cs="Arial" w:eastAsia="Arial" w:hAnsi="Arial"/>
          <w:b/>
          <w:bCs/>
          <w:color w:val="0D6E6E"/>
          <w:sz w:val="26"/>
          <w:szCs w:val="26"/>
        </w:rPr>
        <w:t xml:space="preserve">11.3 Analytic Software</w:t>
      </w:r>
    </w:p>
    <w:p>
      <w:pPr>
        <w:spacing w:before="60" w:after="100" w:line="320"/>
        <w:jc w:val="left"/>
      </w:pPr>
      <w:r>
        <w:rPr>
          <w:rFonts w:ascii="Arial" w:cs="Arial" w:eastAsia="Arial" w:hAnsi="Arial"/>
          <w:b w:val="false"/>
          <w:bCs w:val="false"/>
          <w:i w:val="false"/>
          <w:iCs w:val="false"/>
          <w:color w:val="111111"/>
          <w:sz w:val="22"/>
          <w:szCs w:val="22"/>
        </w:rPr>
        <w:t xml:space="preserve">All analyses will be conducted in R (version ≥ 4.3.0). Primary packages: survival (Cox models), rms (RCS splines, bootstrap validation, calibration), mstate (Fine-Gray competing risks), dcurves (decision-curve analysis), mice (multiple imputation), ggplot2 (graphics). All analysis scripts are deposited in an open repository (GitHub) alongside pre-registration, ensuring reproducibility.</w:t>
      </w:r>
    </w:p>
    <w:p>
      <w:pPr>
        <w:spacing w:before="80" w:after="80" w:line="280"/>
        <w:jc w:val="left"/>
      </w:pPr>
      <w:r>
        <w:rPr>
          <w:rFonts w:ascii="Arial" w:cs="Arial" w:eastAsia="Arial" w:hAnsi="Arial"/>
          <w:b w:val="false"/>
          <w:bCs w:val="false"/>
          <w:i w:val="false"/>
          <w:iCs w:val="false"/>
          <w:color w:val="111111"/>
          <w:sz w:val="22"/>
          <w:szCs w:val="22"/>
        </w:rPr>
        <w:t xml:space="preserve"/>
      </w:r>
    </w:p>
    <w:p>
      <w:pPr>
        <w:spacing w:before="60" w:after="100" w:line="320"/>
        <w:jc w:val="left"/>
      </w:pPr>
      <w:r>
        <w:rPr>
          <w:rFonts w:ascii="Arial" w:cs="Arial" w:eastAsia="Arial" w:hAnsi="Arial"/>
          <w:b w:val="false"/>
          <w:bCs w:val="false"/>
          <w:i/>
          <w:iCs/>
          <w:color w:val="111111"/>
          <w:sz w:val="22"/>
          <w:szCs w:val="22"/>
        </w:rPr>
        <w:t xml:space="preserve">This protocol represents a methodologically serious, pre-specified, and ethically committed research plan designed to generate evidence that is credible to peer reviewers, reproducible by independent analysts, and persuasive to international staging committees. Its validity rests not on the outcome it produces, but on the rigour with which that outcome is pursued.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BE4" w:sz="4"/>
      </w:pBdr>
      <w:tabs>
        <w:tab w:val="right" w:pos="9360"/>
      </w:tabs>
      <w:spacing w:before="120" w:after="0"/>
    </w:pPr>
    <w:r>
      <w:rPr>
        <w:rFonts w:ascii="Arial" w:cs="Arial" w:eastAsia="Arial" w:hAnsi="Arial"/>
        <w:color w:val="6B7280"/>
        <w:sz w:val="18"/>
        <w:szCs w:val="18"/>
      </w:rPr>
      <w:t xml:space="preserve">Version 2.0  |  Post-Critical-Review Edition  |  Pre-Registration Required Before Data Extraction</w:t>
    </w:r>
    <w:r>
      <w:rPr>
        <w:rFonts w:ascii="Arial" w:cs="Arial" w:eastAsia="Arial" w:hAnsi="Arial"/>
      </w:rPr>
      <w:t xml:space="preserve">	</w:t>
    </w: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BE4" w:sz="4"/>
      </w:pBdr>
      <w:tabs>
        <w:tab w:val="right" w:pos="9360"/>
      </w:tabs>
      <w:spacing w:before="0" w:after="120"/>
    </w:pPr>
    <w:r>
      <w:rPr>
        <w:rFonts w:ascii="Arial" w:cs="Arial" w:eastAsia="Arial" w:hAnsi="Arial"/>
        <w:color w:val="6B7280"/>
        <w:sz w:val="18"/>
        <w:szCs w:val="18"/>
      </w:rPr>
      <w:t xml:space="preserve">RESEARCH PROTOCOL  |  LNR vs N-Stage in Node-Positive Colorectal Cancer</w:t>
    </w:r>
    <w:r>
      <w:rPr>
        <w:rFonts w:ascii="Arial" w:cs="Arial" w:eastAsia="Arial" w:hAnsi="Arial"/>
      </w:rPr>
      <w:t xml:space="preserve">	</w:t>
    </w:r>
    <w:r>
      <w:rPr>
        <w:rFonts w:ascii="Arial" w:cs="Arial" w:eastAsia="Arial" w:hAnsi="Arial"/>
        <w:b/>
        <w:bCs/>
        <w:color w:val="8B1A1A"/>
        <w:sz w:val="18"/>
        <w:szCs w:val="18"/>
      </w:rPr>
      <w:t xml:space="preserve">CONFIDENTIAL — NOT FOR CIRCULATION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lvl>
  </w:abstractNum>
  <w:abstractNum w:abstractNumId="3" w15:restartNumberingAfterBreak="0">
    <w:multiLevelType w:val="hybridMultilevel"/>
    <w:lvl w:ilvl="0" w15:tentative="1">
      <w:start w:val="1"/>
      <w:numFmt w:val="bullet"/>
      <w:lvlText w:val="◦"/>
      <w:lvlJc w:val="left"/>
      <w:pPr>
        <w:spacing w:before="30" w:after="30"/>
        <w:ind w:left="1080" w:hanging="360"/>
      </w:pPr>
    </w:lvl>
  </w:abstractNum>
  <w:abstractNum w:abstractNumId="4" w15:restartNumberingAfterBreak="0">
    <w:multiLevelType w:val="hybridMultilevel"/>
    <w:lvl w:ilvl="0" w15:tentative="1">
      <w:start w:val="1"/>
      <w:numFmt w:val="decimal"/>
      <w:lvlText w:val="%1."/>
      <w:lvlJc w:val="left"/>
      <w:pPr>
        <w:spacing w:before="40" w:after="40"/>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D6E6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A4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2026-03-28T15:25:39.999Z</dcterms:created>
  <dcterms:modified xsi:type="dcterms:W3CDTF">2026-03-28T15:25:40.000Z</dcterms:modified>
</cp:coreProperties>
</file>

<file path=docProps/custom.xml><?xml version="1.0" encoding="utf-8"?>
<Properties xmlns="http://schemas.openxmlformats.org/officeDocument/2006/custom-properties" xmlns:vt="http://schemas.openxmlformats.org/officeDocument/2006/docPropsVTypes"/>
</file>