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48"/>
          <w:szCs w:val="48"/>
        </w:rPr>
        <w:t xml:space="preserve">STATISTICAL METHODOLOGY</w:t>
      </w:r>
    </w:p>
    <w:p>
      <w:pPr>
        <w:spacing w:before="0" w:after="80"/>
        <w:jc w:val="center"/>
      </w:pPr>
      <w:r>
        <w:rPr>
          <w:rFonts w:ascii="Arial" w:cs="Arial" w:eastAsia="Arial" w:hAnsi="Arial"/>
          <w:b/>
          <w:bCs/>
          <w:color w:val="2E5496"/>
          <w:sz w:val="30"/>
          <w:szCs w:val="30"/>
        </w:rPr>
        <w:t xml:space="preserve">N-Stage versus Lymph Node Ratio as Prognostic Indicators</w:t>
      </w:r>
    </w:p>
    <w:p>
      <w:pPr>
        <w:spacing w:before="0" w:after="80"/>
        <w:jc w:val="center"/>
      </w:pPr>
      <w:r>
        <w:rPr>
          <w:rFonts w:ascii="Arial" w:cs="Arial" w:eastAsia="Arial" w:hAnsi="Arial"/>
          <w:b/>
          <w:bCs/>
          <w:color w:val="2E5496"/>
          <w:sz w:val="30"/>
          <w:szCs w:val="30"/>
        </w:rPr>
        <w:t xml:space="preserve">in Node-Positive Colorectal Cancer Survival Analysis</w:t>
      </w:r>
    </w:p>
    <w:p>
      <w:pPr>
        <w:spacing w:before="60" w:after="480"/>
        <w:jc w:val="center"/>
      </w:pPr>
      <w:r>
        <w:rPr>
          <w:rFonts w:ascii="Arial" w:cs="Arial" w:eastAsia="Arial" w:hAnsi="Arial"/>
          <w:i/>
          <w:iCs/>
          <w:color w:val="555555"/>
          <w:sz w:val="22"/>
          <w:szCs w:val="22"/>
        </w:rPr>
        <w:t xml:space="preserve">A Pre-Specified, Reproducible Analytical Pipeline</w:t>
      </w:r>
    </w:p>
    <w:p>
      <w:pPr>
        <w:pBdr>
          <w:bottom w:val="single" w:color="1F3864" w:sz="12" w:space="1"/>
        </w:pBdr>
      </w:pPr>
      <w:r>
        <w:t xml:space="preserve"/>
      </w:r>
    </w:p>
    <w:p>
      <w:pPr>
        <w:spacing w:before="40" w:after="40"/>
      </w:pPr>
      <w:r>
        <w:t xml:space="preserve"/>
      </w:r>
    </w:p>
    <w:p>
      <w:pPr>
        <w:pStyle w:val="Heading1"/>
        <w:pBdr>
          <w:bottom w:val="single" w:color="2E5496" w:sz="8" w:space="4"/>
        </w:pBdr>
        <w:spacing w:before="360" w:after="160"/>
      </w:pPr>
      <w:r>
        <w:rPr>
          <w:rFonts w:ascii="Arial" w:cs="Arial" w:eastAsia="Arial" w:hAnsi="Arial"/>
          <w:b/>
          <w:bCs/>
          <w:color w:val="1F3864"/>
          <w:sz w:val="32"/>
          <w:szCs w:val="32"/>
        </w:rPr>
        <w:t xml:space="preserve">1. Overview and Analytical Framework</w:t>
      </w:r>
    </w:p>
    <w:p>
      <w:pPr>
        <w:spacing w:before="60" w:after="100"/>
        <w:jc w:val="both"/>
      </w:pPr>
      <w:r>
        <w:rPr>
          <w:rFonts w:ascii="Arial" w:cs="Arial" w:eastAsia="Arial" w:hAnsi="Arial"/>
          <w:color w:val="2C2C2C"/>
          <w:sz w:val="22"/>
          <w:szCs w:val="22"/>
        </w:rPr>
        <w:t xml:space="preserve">The statistical analysis was conducted in R using a pre-specified, reproducible workflow designed to evaluate the comparative prognostic performance of pathological N-stage and lymph node ratio (LNR) in node-positive colorectal cancer. The cohort was restricted to patients with node-positive disease, defined in the primary analysis by at least one histologically confirmed positive lymph node. LNR was analyzed both as a continuous variable and as a categorical variable using the Rosenberg cut-points (&lt;0.05, 0.05–0.20, and &gt;0.20), with sensitivity analyses incorporating alternative LNR thresholds and lymph node yield adequacy thresholds of 12 and 8 examined nodes.</w:t>
      </w:r>
    </w:p>
    <w:p>
      <w:pPr>
        <w:spacing w:before="60" w:after="100"/>
        <w:jc w:val="both"/>
      </w:pPr>
      <w:r>
        <w:rPr>
          <w:rFonts w:ascii="Arial" w:cs="Arial" w:eastAsia="Arial" w:hAnsi="Arial"/>
          <w:color w:val="2C2C2C"/>
          <w:sz w:val="22"/>
          <w:szCs w:val="22"/>
        </w:rPr>
        <w:t xml:space="preserve">The analytical framework is organized as a modular, plug-and-play pipeline comprising ten discrete methodological components: analytical configuration, data preparation, descriptive statistics, unadjusted survival analysis, multivariable Cox regression, model performance evaluation, reclassification analysis, subgroup and sensitivity analyses, cancer-specific survival analysis, and output compilation. Each component is independently executable yet interconnected through shared data objects and prespecified analytic parameters. All tests were two-sided, and statistical significance was defined as p &lt; 0.05.</w:t>
      </w:r>
    </w:p>
    <w:p>
      <w:pPr>
        <w:spacing w:before="60" w:after="100"/>
        <w:jc w:val="both"/>
      </w:pPr>
      <w:r>
        <w:rPr>
          <w:rFonts w:ascii="Arial" w:cs="Arial" w:eastAsia="Arial" w:hAnsi="Arial"/>
          <w:color w:val="2C2C2C"/>
          <w:sz w:val="22"/>
          <w:szCs w:val="22"/>
        </w:rPr>
        <w:t xml:space="preserve">Key methodological features of this pipeline include: baseline characteristic summarization with standardized mean differences; Kaplan–Meier survival estimation with log-rank testing; univariable and multivariable Cox proportional hazards regression; restricted cubic spline (RCS) modeling for continuous predictors; Fine–Gray subdistribution hazard modeling for competing risks; multiple imputation by chained equations (MICE) for missing data; bootstrap-based internal validation; decision curve analysis (DCA) for clinical utility; and reclassification analysis to quantify discordance between conventional N-staging and LNR-based risk classification.</w:t>
      </w:r>
    </w:p>
    <w:p>
      <w:pPr>
        <w:spacing w:before="40" w:after="40"/>
      </w:pPr>
      <w:r>
        <w:t xml:space="preserve"/>
      </w:r>
    </w:p>
    <w:p>
      <w:pPr>
        <w:pStyle w:val="Heading1"/>
        <w:pBdr>
          <w:bottom w:val="single" w:color="2E5496" w:sz="8" w:space="4"/>
        </w:pBdr>
        <w:spacing w:before="360" w:after="160"/>
      </w:pPr>
      <w:r>
        <w:rPr>
          <w:rFonts w:ascii="Arial" w:cs="Arial" w:eastAsia="Arial" w:hAnsi="Arial"/>
          <w:b/>
          <w:bCs/>
          <w:color w:val="1F3864"/>
          <w:sz w:val="32"/>
          <w:szCs w:val="32"/>
        </w:rPr>
        <w:t xml:space="preserve">2. Data Preparation and Cohort Definition</w:t>
      </w:r>
    </w:p>
    <w:p>
      <w:pPr>
        <w:pStyle w:val="Heading2"/>
        <w:spacing w:before="280" w:after="100"/>
      </w:pPr>
      <w:r>
        <w:rPr>
          <w:rFonts w:ascii="Arial" w:cs="Arial" w:eastAsia="Arial" w:hAnsi="Arial"/>
          <w:b/>
          <w:bCs/>
          <w:color w:val="2E5496"/>
          <w:sz w:val="26"/>
          <w:szCs w:val="26"/>
        </w:rPr>
        <w:t xml:space="preserve">2.1 Data Cleaning and Exclusion Criteria</w:t>
      </w:r>
    </w:p>
    <w:p>
      <w:pPr>
        <w:spacing w:before="60" w:after="100"/>
        <w:jc w:val="both"/>
      </w:pPr>
      <w:r>
        <w:rPr>
          <w:rFonts w:ascii="Arial" w:cs="Arial" w:eastAsia="Arial" w:hAnsi="Arial"/>
          <w:color w:val="2C2C2C"/>
          <w:sz w:val="22"/>
          <w:szCs w:val="22"/>
        </w:rPr>
        <w:t xml:space="preserve">Patients were subjected to systematic data cleaning and cohort selection prior to analysis. The following records were excluded sequentially:</w:t>
      </w:r>
    </w:p>
    <w:p>
      <w:pPr>
        <w:pStyle w:val="ListParagraph"/>
        <w:numPr>
          <w:ilvl w:val="0"/>
          <w:numId w:val="2"/>
        </w:numPr>
        <w:spacing w:before="40" w:after="40"/>
      </w:pPr>
      <w:r>
        <w:rPr>
          <w:rFonts w:ascii="Arial" w:cs="Arial" w:eastAsia="Arial" w:hAnsi="Arial"/>
          <w:color w:val="2C2C2C"/>
          <w:sz w:val="22"/>
          <w:szCs w:val="22"/>
        </w:rPr>
        <w:t xml:space="preserve">Records with empty or missing patient identifiers</w:t>
      </w:r>
    </w:p>
    <w:p>
      <w:pPr>
        <w:pStyle w:val="ListParagraph"/>
        <w:numPr>
          <w:ilvl w:val="0"/>
          <w:numId w:val="2"/>
        </w:numPr>
        <w:spacing w:before="40" w:after="40"/>
      </w:pPr>
      <w:r>
        <w:rPr>
          <w:rFonts w:ascii="Arial" w:cs="Arial" w:eastAsia="Arial" w:hAnsi="Arial"/>
          <w:color w:val="2C2C2C"/>
          <w:sz w:val="22"/>
          <w:szCs w:val="22"/>
        </w:rPr>
        <w:t xml:space="preserve">Duplicated patient IDs (retaining only the index record)</w:t>
      </w:r>
    </w:p>
    <w:p>
      <w:pPr>
        <w:pStyle w:val="ListParagraph"/>
        <w:numPr>
          <w:ilvl w:val="0"/>
          <w:numId w:val="2"/>
        </w:numPr>
        <w:spacing w:before="40" w:after="40"/>
      </w:pPr>
      <w:r>
        <w:rPr>
          <w:rFonts w:ascii="Arial" w:cs="Arial" w:eastAsia="Arial" w:hAnsi="Arial"/>
          <w:color w:val="2C2C2C"/>
          <w:sz w:val="22"/>
          <w:szCs w:val="22"/>
        </w:rPr>
        <w:t xml:space="preserve">Implausible lymph node counts, defined as the number of positive lymph nodes exceeding the total number of examined lymph nodes</w:t>
      </w:r>
    </w:p>
    <w:p>
      <w:pPr>
        <w:pStyle w:val="ListParagraph"/>
        <w:numPr>
          <w:ilvl w:val="0"/>
          <w:numId w:val="2"/>
        </w:numPr>
        <w:spacing w:before="40" w:after="40"/>
      </w:pPr>
      <w:r>
        <w:rPr>
          <w:rFonts w:ascii="Arial" w:cs="Arial" w:eastAsia="Arial" w:hAnsi="Arial"/>
          <w:color w:val="2C2C2C"/>
          <w:sz w:val="22"/>
          <w:szCs w:val="22"/>
        </w:rPr>
        <w:t xml:space="preserve">Records with missing or uninterpretable survival information (survival time or event status)</w:t>
      </w:r>
    </w:p>
    <w:p>
      <w:pPr>
        <w:pStyle w:val="ListParagraph"/>
        <w:numPr>
          <w:ilvl w:val="0"/>
          <w:numId w:val="2"/>
        </w:numPr>
        <w:spacing w:before="40" w:after="40"/>
      </w:pPr>
      <w:r>
        <w:rPr>
          <w:rFonts w:ascii="Arial" w:cs="Arial" w:eastAsia="Arial" w:hAnsi="Arial"/>
          <w:color w:val="2C2C2C"/>
          <w:sz w:val="22"/>
          <w:szCs w:val="22"/>
        </w:rPr>
        <w:t xml:space="preserve">Patients without a calculable total lymph node estimate, who were excluded specifically from lymph node ratio (LNR) models</w:t>
      </w:r>
    </w:p>
    <w:p>
      <w:pPr>
        <w:spacing w:before="60" w:after="100"/>
        <w:jc w:val="both"/>
      </w:pPr>
      <w:r>
        <w:rPr>
          <w:rFonts w:ascii="Arial" w:cs="Arial" w:eastAsia="Arial" w:hAnsi="Arial"/>
          <w:color w:val="2C2C2C"/>
          <w:sz w:val="22"/>
          <w:szCs w:val="22"/>
        </w:rPr>
        <w:t xml:space="preserve">Missingness was systematically assessed for all key analytical variables using a variable-level missing data summary. Complete-case analysis was used as the primary approach. However, multiple imputation by chained equations (MICE) was prespecified as the secondary strategy for downstream analyses if any analytical variable exceeded a prespecified missingness threshold, ensuring robustness against informative dropout.</w:t>
      </w:r>
    </w:p>
    <w:p>
      <w:pPr>
        <w:pStyle w:val="Heading2"/>
        <w:spacing w:before="280" w:after="100"/>
      </w:pPr>
      <w:r>
        <w:rPr>
          <w:rFonts w:ascii="Arial" w:cs="Arial" w:eastAsia="Arial" w:hAnsi="Arial"/>
          <w:b/>
          <w:bCs/>
          <w:color w:val="2E5496"/>
          <w:sz w:val="26"/>
          <w:szCs w:val="26"/>
        </w:rPr>
        <w:t xml:space="preserve">2.2 Variable Derivation and Coding</w:t>
      </w:r>
    </w:p>
    <w:p>
      <w:pPr>
        <w:spacing w:before="60" w:after="100"/>
        <w:jc w:val="both"/>
      </w:pPr>
      <w:r>
        <w:rPr>
          <w:rFonts w:ascii="Arial" w:cs="Arial" w:eastAsia="Arial" w:hAnsi="Arial"/>
          <w:color w:val="2C2C2C"/>
          <w:sz w:val="22"/>
          <w:szCs w:val="22"/>
        </w:rPr>
        <w:t xml:space="preserve">The analytic cohort was restricted to node-positive colorectal cancer patients using a prespecified filter strategy. LNR was recalculated directly from raw counts as the ratio of positive lymph nodes to total examined lymph nodes and subsequently categorized using the Rosenberg cut-points into three predefined tiers:</w:t>
      </w:r>
    </w:p>
    <w:p>
      <w:pPr>
        <w:pStyle w:val="ListParagraph"/>
        <w:numPr>
          <w:ilvl w:val="0"/>
          <w:numId w:val="2"/>
        </w:numPr>
        <w:spacing w:before="40" w:after="40"/>
      </w:pPr>
      <w:r>
        <w:rPr>
          <w:rFonts w:ascii="Arial" w:cs="Arial" w:eastAsia="Arial" w:hAnsi="Arial"/>
          <w:color w:val="2C2C2C"/>
          <w:sz w:val="22"/>
          <w:szCs w:val="22"/>
        </w:rPr>
        <w:t xml:space="preserve">Low LNR: &lt; 0.05</w:t>
      </w:r>
    </w:p>
    <w:p>
      <w:pPr>
        <w:pStyle w:val="ListParagraph"/>
        <w:numPr>
          <w:ilvl w:val="0"/>
          <w:numId w:val="2"/>
        </w:numPr>
        <w:spacing w:before="40" w:after="40"/>
      </w:pPr>
      <w:r>
        <w:rPr>
          <w:rFonts w:ascii="Arial" w:cs="Arial" w:eastAsia="Arial" w:hAnsi="Arial"/>
          <w:color w:val="2C2C2C"/>
          <w:sz w:val="22"/>
          <w:szCs w:val="22"/>
        </w:rPr>
        <w:t xml:space="preserve">Intermediate LNR: 0.05–0.20</w:t>
      </w:r>
    </w:p>
    <w:p>
      <w:pPr>
        <w:pStyle w:val="ListParagraph"/>
        <w:numPr>
          <w:ilvl w:val="0"/>
          <w:numId w:val="2"/>
        </w:numPr>
        <w:spacing w:before="40" w:after="40"/>
      </w:pPr>
      <w:r>
        <w:rPr>
          <w:rFonts w:ascii="Arial" w:cs="Arial" w:eastAsia="Arial" w:hAnsi="Arial"/>
          <w:color w:val="2C2C2C"/>
          <w:sz w:val="22"/>
          <w:szCs w:val="22"/>
        </w:rPr>
        <w:t xml:space="preserve">High LNR: &gt; 0.20</w:t>
      </w:r>
    </w:p>
    <w:p>
      <w:pPr>
        <w:spacing w:before="60" w:after="100"/>
        <w:jc w:val="both"/>
      </w:pPr>
      <w:r>
        <w:rPr>
          <w:rFonts w:ascii="Arial" w:cs="Arial" w:eastAsia="Arial" w:hAnsi="Arial"/>
          <w:color w:val="2C2C2C"/>
          <w:sz w:val="22"/>
          <w:szCs w:val="22"/>
        </w:rPr>
        <w:t xml:space="preserve">Additional sensitivity categorizations were specified using alternative binary (threshold: 0.20) and three-level thresholds (0.05/0.40), to be evaluated in sensitivity analyses.</w:t>
      </w:r>
    </w:p>
    <w:p>
      <w:pPr>
        <w:spacing w:before="60" w:after="100"/>
        <w:jc w:val="both"/>
      </w:pPr>
      <w:r>
        <w:rPr>
          <w:rFonts w:ascii="Arial" w:cs="Arial" w:eastAsia="Arial" w:hAnsi="Arial"/>
          <w:color w:val="2C2C2C"/>
          <w:sz w:val="22"/>
          <w:szCs w:val="22"/>
        </w:rPr>
        <w:t xml:space="preserve">Tumor stage (T-stage) was grouped as T1/T2, T3, and T4. Nodal stage (N-stage) was coded as N1 versus N2. Lymph node yield adequacy was classified as adequate or inadequate using the conventional threshold of ≥12 examined nodes for the primary analysis and a stricter ≥8-node threshold for a sensitivity analysis. Grade, lymphovascular invasion (LVI), and sex were recoded as binary or ordinal categorical variables as appropriate. Survival time was retained in days as the primary unit and additionally converted to months and years solely for reporting and tabulation purposes.</w:t>
      </w:r>
    </w:p>
    <w:p>
      <w:pPr>
        <w:pStyle w:val="Heading2"/>
        <w:spacing w:before="280" w:after="100"/>
      </w:pPr>
      <w:r>
        <w:rPr>
          <w:rFonts w:ascii="Arial" w:cs="Arial" w:eastAsia="Arial" w:hAnsi="Arial"/>
          <w:b/>
          <w:bCs/>
          <w:color w:val="2E5496"/>
          <w:sz w:val="26"/>
          <w:szCs w:val="26"/>
        </w:rPr>
        <w:t xml:space="preserve">2.3 Analytic Tiering</w:t>
      </w:r>
    </w:p>
    <w:p>
      <w:pPr>
        <w:spacing w:before="60" w:after="100"/>
        <w:jc w:val="both"/>
      </w:pPr>
      <w:r>
        <w:rPr>
          <w:rFonts w:ascii="Arial" w:cs="Arial" w:eastAsia="Arial" w:hAnsi="Arial"/>
          <w:color w:val="2C2C2C"/>
          <w:sz w:val="22"/>
          <w:szCs w:val="22"/>
        </w:rPr>
        <w:t xml:space="preserve">Event counts for overall survival (OS) and disease-specific survival (DSS) were used for analytic tiering prior to downstream modeling. This tiering approach determines the appropriate complexity of multivariable models, ensures adequate statistical power for covariate adjustment, and prevents overfitting in sparse data settings. Specifically, restricted cubic spline (RCS) terms were permitted only when the analytic tier was sufficient, and multivariable fully adjusted models were conditionally executed based on the minimum event count required for reliable estimation.</w:t>
      </w:r>
    </w:p>
    <w:p>
      <w:pPr>
        <w:spacing w:before="40" w:after="40"/>
      </w:pPr>
      <w:r>
        <w:t xml:space="preserve"/>
      </w:r>
    </w:p>
    <w:p>
      <w:pPr>
        <w:pStyle w:val="Heading1"/>
        <w:pBdr>
          <w:bottom w:val="single" w:color="2E5496" w:sz="8" w:space="4"/>
        </w:pBdr>
        <w:spacing w:before="360" w:after="160"/>
      </w:pPr>
      <w:r>
        <w:rPr>
          <w:rFonts w:ascii="Arial" w:cs="Arial" w:eastAsia="Arial" w:hAnsi="Arial"/>
          <w:b/>
          <w:bCs/>
          <w:color w:val="1F3864"/>
          <w:sz w:val="32"/>
          <w:szCs w:val="32"/>
        </w:rPr>
        <w:t xml:space="preserve">3. Descriptive Statistics</w:t>
      </w:r>
    </w:p>
    <w:p>
      <w:pPr>
        <w:pStyle w:val="Heading2"/>
        <w:spacing w:before="280" w:after="100"/>
      </w:pPr>
      <w:r>
        <w:rPr>
          <w:rFonts w:ascii="Arial" w:cs="Arial" w:eastAsia="Arial" w:hAnsi="Arial"/>
          <w:b/>
          <w:bCs/>
          <w:color w:val="2E5496"/>
          <w:sz w:val="26"/>
          <w:szCs w:val="26"/>
        </w:rPr>
        <w:t xml:space="preserve">3.1 Baseline Characteristics</w:t>
      </w:r>
    </w:p>
    <w:p>
      <w:pPr>
        <w:spacing w:before="60" w:after="100"/>
        <w:jc w:val="both"/>
      </w:pPr>
      <w:r>
        <w:rPr>
          <w:rFonts w:ascii="Arial" w:cs="Arial" w:eastAsia="Arial" w:hAnsi="Arial"/>
          <w:color w:val="2C2C2C"/>
          <w:sz w:val="22"/>
          <w:szCs w:val="22"/>
        </w:rPr>
        <w:t xml:space="preserve">Baseline and outcome characteristics were summarized descriptively in the final node-positive colorectal cancer cohort. Continuous variables were presented as mean (standard deviation) when approximately normally distributed, or as median (interquartile range) when skewed. Categorical variables were reported as counts and percentages.</w:t>
      </w:r>
    </w:p>
    <w:p>
      <w:pPr>
        <w:spacing w:before="60" w:after="100"/>
        <w:jc w:val="both"/>
      </w:pPr>
      <w:r>
        <w:rPr>
          <w:rFonts w:ascii="Arial" w:cs="Arial" w:eastAsia="Arial" w:hAnsi="Arial"/>
          <w:color w:val="2C2C2C"/>
          <w:sz w:val="22"/>
          <w:szCs w:val="22"/>
        </w:rPr>
        <w:t xml:space="preserve">Baseline characteristics were tabulated using the CreateTableOne framework, with comparisons stratified by LNR tier and N-stage. Standardized mean differences (SMDs) were reported to assess covariate balance across strata. Hypothesis testing and p-values were intentionally suppressed in the baseline table to avoid spurious significance testing in the context of a descriptive summary, consistent with current reporting guidelines for observational studies.</w:t>
      </w:r>
    </w:p>
    <w:p>
      <w:pPr>
        <w:pStyle w:val="Heading2"/>
        <w:spacing w:before="280" w:after="100"/>
      </w:pPr>
      <w:r>
        <w:rPr>
          <w:rFonts w:ascii="Arial" w:cs="Arial" w:eastAsia="Arial" w:hAnsi="Arial"/>
          <w:b/>
          <w:bCs/>
          <w:color w:val="2E5496"/>
          <w:sz w:val="26"/>
          <w:szCs w:val="26"/>
        </w:rPr>
        <w:t xml:space="preserve">3.2 Lymph Node Distribution</w:t>
      </w:r>
    </w:p>
    <w:p>
      <w:pPr>
        <w:spacing w:before="60" w:after="100"/>
        <w:jc w:val="both"/>
      </w:pPr>
      <w:r>
        <w:rPr>
          <w:rFonts w:ascii="Arial" w:cs="Arial" w:eastAsia="Arial" w:hAnsi="Arial"/>
          <w:color w:val="2C2C2C"/>
          <w:sz w:val="22"/>
          <w:szCs w:val="22"/>
        </w:rPr>
        <w:t xml:space="preserve">Total lymph nodes examined (TLE) and LNR were characterized using comprehensive distribution summaries including histograms and boxplots. TLE adequacy was evaluated against the prespecified thresholds (≥12 and ≥8 nodes), and the corresponding proportions of patients meeting adequacy criteria were estimated with Wilson score 95% confidence intervals to ensure validity at boundary proportions. The distribution of LNR was additionally summarized within Rosenberg-tier categories.</w:t>
      </w:r>
    </w:p>
    <w:p>
      <w:pPr>
        <w:pStyle w:val="Heading2"/>
        <w:spacing w:before="280" w:after="100"/>
      </w:pPr>
      <w:r>
        <w:rPr>
          <w:rFonts w:ascii="Arial" w:cs="Arial" w:eastAsia="Arial" w:hAnsi="Arial"/>
          <w:b/>
          <w:bCs/>
          <w:color w:val="2E5496"/>
          <w:sz w:val="26"/>
          <w:szCs w:val="26"/>
        </w:rPr>
        <w:t xml:space="preserve">3.3 Event Summary and Follow-up</w:t>
      </w:r>
    </w:p>
    <w:p>
      <w:pPr>
        <w:spacing w:before="60" w:after="100"/>
        <w:jc w:val="both"/>
      </w:pPr>
      <w:r>
        <w:rPr>
          <w:rFonts w:ascii="Arial" w:cs="Arial" w:eastAsia="Arial" w:hAnsi="Arial"/>
          <w:color w:val="2C2C2C"/>
          <w:sz w:val="22"/>
          <w:szCs w:val="22"/>
        </w:rPr>
        <w:t xml:space="preserve">Event outcomes for OS and DSS were summarized as event counts and proportions. Median follow-up duration was estimated using the reverse Kaplan–Meier method (also known as the potential follow-up method), which accounts for the censoring structure of the data and provides an unbiased estimate of follow-up independent of event occurrence. A cross-tabulation of N-stage by LNR tier was additionally produced to characterize the relationship between conventional nodal staging and LNR-based risk classification prior to formal reclassification analysis.</w:t>
      </w:r>
    </w:p>
    <w:p>
      <w:pPr>
        <w:spacing w:before="40" w:after="40"/>
      </w:pPr>
      <w:r>
        <w:t xml:space="preserve"/>
      </w:r>
    </w:p>
    <w:p>
      <w:pPr>
        <w:pStyle w:val="Heading1"/>
        <w:pBdr>
          <w:bottom w:val="single" w:color="2E5496" w:sz="8" w:space="4"/>
        </w:pBdr>
        <w:spacing w:before="360" w:after="160"/>
      </w:pPr>
      <w:r>
        <w:rPr>
          <w:rFonts w:ascii="Arial" w:cs="Arial" w:eastAsia="Arial" w:hAnsi="Arial"/>
          <w:b/>
          <w:bCs/>
          <w:color w:val="1F3864"/>
          <w:sz w:val="32"/>
          <w:szCs w:val="32"/>
        </w:rPr>
        <w:t xml:space="preserve">4. Unadjusted Survival Analysis</w:t>
      </w:r>
    </w:p>
    <w:p>
      <w:pPr>
        <w:pStyle w:val="Heading2"/>
        <w:spacing w:before="280" w:after="100"/>
      </w:pPr>
      <w:r>
        <w:rPr>
          <w:rFonts w:ascii="Arial" w:cs="Arial" w:eastAsia="Arial" w:hAnsi="Arial"/>
          <w:b/>
          <w:bCs/>
          <w:color w:val="2E5496"/>
          <w:sz w:val="26"/>
          <w:szCs w:val="26"/>
        </w:rPr>
        <w:t xml:space="preserve">4.1 Kaplan–Meier Estimation</w:t>
      </w:r>
    </w:p>
    <w:p>
      <w:pPr>
        <w:spacing w:before="60" w:after="100"/>
        <w:jc w:val="both"/>
      </w:pPr>
      <w:r>
        <w:rPr>
          <w:rFonts w:ascii="Arial" w:cs="Arial" w:eastAsia="Arial" w:hAnsi="Arial"/>
          <w:color w:val="2C2C2C"/>
          <w:sz w:val="22"/>
          <w:szCs w:val="22"/>
        </w:rPr>
        <w:t xml:space="preserve">Overall survival (OS) and disease-specific survival (DSS) were analyzed using time-to-event methods. Kaplan–Meier survival curves were constructed for OS stratified by N-stage and LNR tier separately. Between-group comparisons were performed using the log-rank test. For LNR tier specifically (three groups), pairwise log-rank comparisons were additionally conducted with Bonferroni correction to control for multiple testing across pairwise contrasts.</w:t>
      </w:r>
    </w:p>
    <w:p>
      <w:pPr>
        <w:spacing w:before="60" w:after="100"/>
        <w:jc w:val="both"/>
      </w:pPr>
      <w:r>
        <w:rPr>
          <w:rFonts w:ascii="Arial" w:cs="Arial" w:eastAsia="Arial" w:hAnsi="Arial"/>
          <w:color w:val="2C2C2C"/>
          <w:sz w:val="22"/>
          <w:szCs w:val="22"/>
        </w:rPr>
        <w:t xml:space="preserve">Survival probabilities were summarized at prespecified landmark time points of 1, 3, and 5 years, with 95% confidence intervals. DSS was analyzed analogously using Kaplan–Meier methods when the number of DSS events was sufficient to support reliable estimation.</w:t>
      </w:r>
    </w:p>
    <w:p>
      <w:pPr>
        <w:pStyle w:val="Heading2"/>
        <w:spacing w:before="280" w:after="100"/>
      </w:pPr>
      <w:r>
        <w:rPr>
          <w:rFonts w:ascii="Arial" w:cs="Arial" w:eastAsia="Arial" w:hAnsi="Arial"/>
          <w:b/>
          <w:bCs/>
          <w:color w:val="2E5496"/>
          <w:sz w:val="26"/>
          <w:szCs w:val="26"/>
        </w:rPr>
        <w:t xml:space="preserve">4.2 Restricted Mean Survival Time</w:t>
      </w:r>
    </w:p>
    <w:p>
      <w:pPr>
        <w:spacing w:before="60" w:after="100"/>
        <w:jc w:val="both"/>
      </w:pPr>
      <w:r>
        <w:rPr>
          <w:rFonts w:ascii="Arial" w:cs="Arial" w:eastAsia="Arial" w:hAnsi="Arial"/>
          <w:color w:val="2C2C2C"/>
          <w:sz w:val="22"/>
          <w:szCs w:val="22"/>
        </w:rPr>
        <w:t xml:space="preserve">Restricted mean survival time (RMST) was estimated as a summary measure of survival experience up to a prespecified truncation time of 5 years, using the lesser of the protocol-specified horizon and the maximum observed follow-up to ensure estimability. RMST was calculated separately within each N-stage and LNR-tier subgroup. RMST provides a clinically interpretable, model-free estimate of the mean time alive within a specified window, offering a useful complement to median survival and hazard ratios.</w:t>
      </w:r>
    </w:p>
    <w:p>
      <w:pPr>
        <w:pStyle w:val="Heading2"/>
        <w:spacing w:before="280" w:after="100"/>
      </w:pPr>
      <w:r>
        <w:rPr>
          <w:rFonts w:ascii="Arial" w:cs="Arial" w:eastAsia="Arial" w:hAnsi="Arial"/>
          <w:b/>
          <w:bCs/>
          <w:color w:val="2E5496"/>
          <w:sz w:val="26"/>
          <w:szCs w:val="26"/>
        </w:rPr>
        <w:t xml:space="preserve">4.3 Functional Form of LNR</w:t>
      </w:r>
    </w:p>
    <w:p>
      <w:pPr>
        <w:spacing w:before="60" w:after="100"/>
        <w:jc w:val="both"/>
      </w:pPr>
      <w:r>
        <w:rPr>
          <w:rFonts w:ascii="Arial" w:cs="Arial" w:eastAsia="Arial" w:hAnsi="Arial"/>
          <w:color w:val="2C2C2C"/>
          <w:sz w:val="22"/>
          <w:szCs w:val="22"/>
        </w:rPr>
        <w:t xml:space="preserve">To assess the functional form of LNR as a continuous exposure, martingale residuals from a null Cox proportional hazards model (containing no covariates) were plotted against LNR proportion and smoothed using LOESS (locally estimated scatterplot smoothing). This graphical diagnostic evaluates whether the relationship between LNR and the log hazard of death follows a linear, threshold, or plateau pattern, thereby informing the specification of LNR in multivariable models.</w:t>
      </w:r>
    </w:p>
    <w:p>
      <w:pPr>
        <w:pStyle w:val="Heading2"/>
        <w:spacing w:before="280" w:after="100"/>
      </w:pPr>
      <w:r>
        <w:rPr>
          <w:rFonts w:ascii="Arial" w:cs="Arial" w:eastAsia="Arial" w:hAnsi="Arial"/>
          <w:b/>
          <w:bCs/>
          <w:color w:val="2E5496"/>
          <w:sz w:val="26"/>
          <w:szCs w:val="26"/>
        </w:rPr>
        <w:t xml:space="preserve">4.4 Univariable Cox Regression</w:t>
      </w:r>
    </w:p>
    <w:p>
      <w:pPr>
        <w:spacing w:before="60" w:after="100"/>
        <w:jc w:val="both"/>
      </w:pPr>
      <w:r>
        <w:rPr>
          <w:rFonts w:ascii="Arial" w:cs="Arial" w:eastAsia="Arial" w:hAnsi="Arial"/>
          <w:color w:val="2C2C2C"/>
          <w:sz w:val="22"/>
          <w:szCs w:val="22"/>
        </w:rPr>
        <w:t xml:space="preserve">Univariable Cox proportional hazards regression models were fitted for the following exposures: N-stage (N1 vs. N2), LNR as a continuous variable, LNR categorized into Rosenberg tiers, age, sex, T-stage group, grade, and LVI. Hazard ratios (HRs) with 95% confidence intervals were reported. Where permitted by the analytic tier, LNR was additionally modeled using restricted cubic splines (RCS) with three knots to capture potential non-linearity, and the significance of the non-linear component was assessed using analysis of variance (ANOVA) of the RCS terms.</w:t>
      </w:r>
    </w:p>
    <w:p>
      <w:pPr>
        <w:spacing w:before="40" w:after="40"/>
      </w:pPr>
      <w:r>
        <w:t xml:space="preserve"/>
      </w:r>
    </w:p>
    <w:p>
      <w:pPr>
        <w:pStyle w:val="Heading1"/>
        <w:pBdr>
          <w:bottom w:val="single" w:color="2E5496" w:sz="8" w:space="4"/>
        </w:pBdr>
        <w:spacing w:before="360" w:after="160"/>
      </w:pPr>
      <w:r>
        <w:rPr>
          <w:rFonts w:ascii="Arial" w:cs="Arial" w:eastAsia="Arial" w:hAnsi="Arial"/>
          <w:b/>
          <w:bCs/>
          <w:color w:val="1F3864"/>
          <w:sz w:val="32"/>
          <w:szCs w:val="32"/>
        </w:rPr>
        <w:t xml:space="preserve">5. Multivariable Cox Proportional Hazards Regression</w:t>
      </w:r>
    </w:p>
    <w:p>
      <w:pPr>
        <w:pStyle w:val="Heading2"/>
        <w:spacing w:before="280" w:after="100"/>
      </w:pPr>
      <w:r>
        <w:rPr>
          <w:rFonts w:ascii="Arial" w:cs="Arial" w:eastAsia="Arial" w:hAnsi="Arial"/>
          <w:b/>
          <w:bCs/>
          <w:color w:val="2E5496"/>
          <w:sz w:val="26"/>
          <w:szCs w:val="26"/>
        </w:rPr>
        <w:t xml:space="preserve">5.1 Model Framework</w:t>
      </w:r>
    </w:p>
    <w:p>
      <w:pPr>
        <w:spacing w:before="60" w:after="100"/>
        <w:jc w:val="both"/>
      </w:pPr>
      <w:r>
        <w:rPr>
          <w:rFonts w:ascii="Arial" w:cs="Arial" w:eastAsia="Arial" w:hAnsi="Arial"/>
          <w:color w:val="2C2C2C"/>
          <w:sz w:val="22"/>
          <w:szCs w:val="22"/>
        </w:rPr>
        <w:t xml:space="preserve">Overall survival was analyzed using Cox proportional hazards regression models implemented in R with the rms and survival packages. The data distribution object (datadist) was set prior to model fitting to support prediction and visualization. The analysis employed a prespecified three-layer symmetric model-comparison framework, enabling a structured comparison of N-stage and LNR across progressive covariate adjustment levels:</w:t>
      </w:r>
    </w:p>
    <w:p>
      <w:pPr>
        <w:pStyle w:val="Heading3"/>
        <w:spacing w:before="200" w:after="80"/>
      </w:pPr>
      <w:r>
        <w:rPr>
          <w:rFonts w:ascii="Arial" w:cs="Arial" w:eastAsia="Arial" w:hAnsi="Arial"/>
          <w:b/>
          <w:bCs/>
          <w:i/>
          <w:iCs/>
          <w:color w:val="444444"/>
          <w:sz w:val="24"/>
          <w:szCs w:val="24"/>
        </w:rPr>
        <w:t xml:space="preserve">Layer 1 – Unadjusted Comparison</w:t>
      </w:r>
    </w:p>
    <w:p>
      <w:pPr>
        <w:spacing w:before="60" w:after="100"/>
        <w:jc w:val="both"/>
      </w:pPr>
      <w:r>
        <w:rPr>
          <w:rFonts w:ascii="Arial" w:cs="Arial" w:eastAsia="Arial" w:hAnsi="Arial"/>
          <w:color w:val="2C2C2C"/>
          <w:sz w:val="22"/>
          <w:szCs w:val="22"/>
        </w:rPr>
        <w:t xml:space="preserve">Unadjusted models were fitted with N-stage alone versus LNR alone. LNR was modeled as a linear term or, when permitted by the analytic tier, using restricted cubic splines (RCS) with three knots to allow for non-linear associations.</w:t>
      </w:r>
    </w:p>
    <w:p>
      <w:pPr>
        <w:pStyle w:val="Heading3"/>
        <w:spacing w:before="200" w:after="80"/>
      </w:pPr>
      <w:r>
        <w:rPr>
          <w:rFonts w:ascii="Arial" w:cs="Arial" w:eastAsia="Arial" w:hAnsi="Arial"/>
          <w:b/>
          <w:bCs/>
          <w:i/>
          <w:iCs/>
          <w:color w:val="444444"/>
          <w:sz w:val="24"/>
          <w:szCs w:val="24"/>
        </w:rPr>
        <w:t xml:space="preserve">Layer 2 – TLE-Adjusted Comparison</w:t>
      </w:r>
    </w:p>
    <w:p>
      <w:pPr>
        <w:spacing w:before="60" w:after="100"/>
        <w:jc w:val="both"/>
      </w:pPr>
      <w:r>
        <w:rPr>
          <w:rFonts w:ascii="Arial" w:cs="Arial" w:eastAsia="Arial" w:hAnsi="Arial"/>
          <w:color w:val="2C2C2C"/>
          <w:sz w:val="22"/>
          <w:szCs w:val="22"/>
        </w:rPr>
        <w:t xml:space="preserve">Total lymph nodes examined (TLE) was added as a covariate to create TLE-adjusted models comparing N-stage + TLE versus LNR + TLE. This layer isolates the incremental contribution of LNR beyond the information already captured by lymph node yield.</w:t>
      </w:r>
    </w:p>
    <w:p>
      <w:pPr>
        <w:pStyle w:val="Heading3"/>
        <w:spacing w:before="200" w:after="80"/>
      </w:pPr>
      <w:r>
        <w:rPr>
          <w:rFonts w:ascii="Arial" w:cs="Arial" w:eastAsia="Arial" w:hAnsi="Arial"/>
          <w:b/>
          <w:bCs/>
          <w:i/>
          <w:iCs/>
          <w:color w:val="444444"/>
          <w:sz w:val="24"/>
          <w:szCs w:val="24"/>
        </w:rPr>
        <w:t xml:space="preserve">Layer 3 – Fully Adjusted Multivariable Models</w:t>
      </w:r>
    </w:p>
    <w:p>
      <w:pPr>
        <w:spacing w:before="60" w:after="100"/>
        <w:jc w:val="both"/>
      </w:pPr>
      <w:r>
        <w:rPr>
          <w:rFonts w:ascii="Arial" w:cs="Arial" w:eastAsia="Arial" w:hAnsi="Arial"/>
          <w:color w:val="2C2C2C"/>
          <w:sz w:val="22"/>
          <w:szCs w:val="22"/>
        </w:rPr>
        <w:t xml:space="preserve">The primary fully adjusted models forced entry of the following covariates: age, sex, T-stage group (T1/T2, T3, T4), tumor grade, and lymphovascular invasion (LVI), alongside either N-stage or LNR plus TLE. RCS with three knots was used for continuous predictors (LNR, TLE, age) when permitted by the analytic tier; otherwise, linear terms were used. These models represent the primary analytical comparison of N-stage versus LNR as prognostic factors after full covariate adjustment.</w:t>
      </w:r>
    </w:p>
    <w:p>
      <w:pPr>
        <w:pStyle w:val="Heading2"/>
        <w:spacing w:before="280" w:after="100"/>
      </w:pPr>
      <w:r>
        <w:rPr>
          <w:rFonts w:ascii="Arial" w:cs="Arial" w:eastAsia="Arial" w:hAnsi="Arial"/>
          <w:b/>
          <w:bCs/>
          <w:color w:val="2E5496"/>
          <w:sz w:val="26"/>
          <w:szCs w:val="26"/>
        </w:rPr>
        <w:t xml:space="preserve">5.2 Interaction Analysis</w:t>
      </w:r>
    </w:p>
    <w:p>
      <w:pPr>
        <w:spacing w:before="60" w:after="100"/>
        <w:jc w:val="both"/>
      </w:pPr>
      <w:r>
        <w:rPr>
          <w:rFonts w:ascii="Arial" w:cs="Arial" w:eastAsia="Arial" w:hAnsi="Arial"/>
          <w:color w:val="2C2C2C"/>
          <w:sz w:val="22"/>
          <w:szCs w:val="22"/>
        </w:rPr>
        <w:t xml:space="preserve">An additional interaction model was prespecified to evaluate effect modification between LNR and lymph node yield adequacy. A multiplicative interaction term (LNR × TLE adequacy) was included in a Cox model to test whether the prognostic value of LNR varies according to whether an adequate lymph node yield (≥12 nodes) was obtained. This analysis has clinical relevance given that inadequate lymph node retrieval may systematically underestimate LNR and nodal burden.</w:t>
      </w:r>
    </w:p>
    <w:p>
      <w:pPr>
        <w:pStyle w:val="Heading2"/>
        <w:spacing w:before="280" w:after="100"/>
      </w:pPr>
      <w:r>
        <w:rPr>
          <w:rFonts w:ascii="Arial" w:cs="Arial" w:eastAsia="Arial" w:hAnsi="Arial"/>
          <w:b/>
          <w:bCs/>
          <w:color w:val="2E5496"/>
          <w:sz w:val="26"/>
          <w:szCs w:val="26"/>
        </w:rPr>
        <w:t xml:space="preserve">5.3 Proportional Hazards Assumption Testing</w:t>
      </w:r>
    </w:p>
    <w:p>
      <w:pPr>
        <w:spacing w:before="60" w:after="100"/>
        <w:jc w:val="both"/>
      </w:pPr>
      <w:r>
        <w:rPr>
          <w:rFonts w:ascii="Arial" w:cs="Arial" w:eastAsia="Arial" w:hAnsi="Arial"/>
          <w:color w:val="2C2C2C"/>
          <w:sz w:val="22"/>
          <w:szCs w:val="22"/>
        </w:rPr>
        <w:t xml:space="preserve">The proportional hazards assumption was assessed for each fitted Cox model using the Schoenfeld residual-based cox.zph test with a log-time transformation. A statistically significant result (p &lt; 0.05) for any covariate was flagged as a potential violation. Where violations were detected, potential remedial strategies including covariate stratification or time-dependent modeling were prespecified for implementation.</w:t>
      </w:r>
    </w:p>
    <w:p>
      <w:pPr>
        <w:pStyle w:val="Heading2"/>
        <w:spacing w:before="280" w:after="100"/>
      </w:pPr>
      <w:r>
        <w:rPr>
          <w:rFonts w:ascii="Arial" w:cs="Arial" w:eastAsia="Arial" w:hAnsi="Arial"/>
          <w:b/>
          <w:bCs/>
          <w:color w:val="2E5496"/>
          <w:sz w:val="26"/>
          <w:szCs w:val="26"/>
        </w:rPr>
        <w:t xml:space="preserve">5.4 Model Comparison and Visualization</w:t>
      </w:r>
    </w:p>
    <w:p>
      <w:pPr>
        <w:spacing w:before="60" w:after="100"/>
        <w:jc w:val="both"/>
      </w:pPr>
      <w:r>
        <w:rPr>
          <w:rFonts w:ascii="Arial" w:cs="Arial" w:eastAsia="Arial" w:hAnsi="Arial"/>
          <w:color w:val="2C2C2C"/>
          <w:sz w:val="22"/>
          <w:szCs w:val="22"/>
        </w:rPr>
        <w:t xml:space="preserve">Model performance and parsimony were compared across layers using the Akaike Information Criterion (AIC), Bayesian Information Criterion (BIC), and partial log-likelihood. The adjusted association between LNR and mortality was visualized using predicted hazard ratios derived from the final multivariable model across the range of observed LNR values, with 95% confidence intervals. A forest plot of hazard ratios with 95% CIs was generated for all covariates in the corresponding multivariable Cox model.</w:t>
      </w:r>
    </w:p>
    <w:p>
      <w:pPr>
        <w:spacing w:before="40" w:after="40"/>
      </w:pPr>
      <w:r>
        <w:t xml:space="preserve"/>
      </w:r>
    </w:p>
    <w:p>
      <w:pPr>
        <w:pStyle w:val="Heading1"/>
        <w:pBdr>
          <w:bottom w:val="single" w:color="2E5496" w:sz="8" w:space="4"/>
        </w:pBdr>
        <w:spacing w:before="360" w:after="160"/>
      </w:pPr>
      <w:r>
        <w:rPr>
          <w:rFonts w:ascii="Arial" w:cs="Arial" w:eastAsia="Arial" w:hAnsi="Arial"/>
          <w:b/>
          <w:bCs/>
          <w:color w:val="1F3864"/>
          <w:sz w:val="32"/>
          <w:szCs w:val="32"/>
        </w:rPr>
        <w:t xml:space="preserve">6. Model Performance Evaluation</w:t>
      </w:r>
    </w:p>
    <w:p>
      <w:pPr>
        <w:pStyle w:val="Heading2"/>
        <w:spacing w:before="280" w:after="100"/>
      </w:pPr>
      <w:r>
        <w:rPr>
          <w:rFonts w:ascii="Arial" w:cs="Arial" w:eastAsia="Arial" w:hAnsi="Arial"/>
          <w:b/>
          <w:bCs/>
          <w:color w:val="2E5496"/>
          <w:sz w:val="26"/>
          <w:szCs w:val="26"/>
        </w:rPr>
        <w:t xml:space="preserve">6.1 Discrimination</w:t>
      </w:r>
    </w:p>
    <w:p>
      <w:pPr>
        <w:spacing w:before="60" w:after="100"/>
        <w:jc w:val="both"/>
      </w:pPr>
      <w:r>
        <w:rPr>
          <w:rFonts w:ascii="Arial" w:cs="Arial" w:eastAsia="Arial" w:hAnsi="Arial"/>
          <w:color w:val="2C2C2C"/>
          <w:sz w:val="22"/>
          <w:szCs w:val="22"/>
        </w:rPr>
        <w:t xml:space="preserve">Discrimination was quantified using Uno's C-statistic, calculated from the linear predictor of the Cox model with inverse probability of censoring weighting (IPCW). Uno's C-statistic is preferred over the conventional Harrell's C in settings with informative censoring, as it up-weights uncensored observations and provides a less biased estimate under differential censoring. Discrimination was evaluated under truncation of follow-up time consistent with the prespecified RMST horizon (5 years).</w:t>
      </w:r>
    </w:p>
    <w:p>
      <w:pPr>
        <w:spacing w:before="60" w:after="100"/>
        <w:jc w:val="both"/>
      </w:pPr>
      <w:r>
        <w:rPr>
          <w:rFonts w:ascii="Arial" w:cs="Arial" w:eastAsia="Arial" w:hAnsi="Arial"/>
          <w:color w:val="2C2C2C"/>
          <w:sz w:val="22"/>
          <w:szCs w:val="22"/>
        </w:rPr>
        <w:t xml:space="preserve">Model discrimination was compared between competing models (Model C: N-stage model vs. Model D: LNR model) using the absolute difference in C-statistics (ΔC) with bootstrap bias-corrected and accelerated (BCa) 95% confidence intervals derived from 1000 resampling iterations. BCa intervals are preferred for skewed distributions of bootstrap statistics, as they correct for both bias and skewness.</w:t>
      </w:r>
    </w:p>
    <w:p>
      <w:pPr>
        <w:pStyle w:val="Heading2"/>
        <w:spacing w:before="280" w:after="100"/>
      </w:pPr>
      <w:r>
        <w:rPr>
          <w:rFonts w:ascii="Arial" w:cs="Arial" w:eastAsia="Arial" w:hAnsi="Arial"/>
          <w:b/>
          <w:bCs/>
          <w:color w:val="2E5496"/>
          <w:sz w:val="26"/>
          <w:szCs w:val="26"/>
        </w:rPr>
        <w:t xml:space="preserve">6.2 Calibration</w:t>
      </w:r>
    </w:p>
    <w:p>
      <w:pPr>
        <w:spacing w:before="60" w:after="100"/>
        <w:jc w:val="both"/>
      </w:pPr>
      <w:r>
        <w:rPr>
          <w:rFonts w:ascii="Arial" w:cs="Arial" w:eastAsia="Arial" w:hAnsi="Arial"/>
          <w:color w:val="2C2C2C"/>
          <w:sz w:val="22"/>
          <w:szCs w:val="22"/>
        </w:rPr>
        <w:t xml:space="preserve">Model calibration at 5 years was assessed using bootstrap-based calibration plots generated from the model calibration procedure. Calibration plots display observed versus predicted 5-year survival probabilities, with perfect calibration represented by the 45-degree identity line. Bootstrap optimism correction was applied to adjust for overfitting in the internal calibration assessment, providing an honest estimate of calibration in new similar datasets.</w:t>
      </w:r>
    </w:p>
    <w:p>
      <w:pPr>
        <w:pStyle w:val="Heading2"/>
        <w:spacing w:before="280" w:after="100"/>
      </w:pPr>
      <w:r>
        <w:rPr>
          <w:rFonts w:ascii="Arial" w:cs="Arial" w:eastAsia="Arial" w:hAnsi="Arial"/>
          <w:b/>
          <w:bCs/>
          <w:color w:val="2E5496"/>
          <w:sz w:val="26"/>
          <w:szCs w:val="26"/>
        </w:rPr>
        <w:t xml:space="preserve">6.3 Clinical Utility – Decision Curve Analysis</w:t>
      </w:r>
    </w:p>
    <w:p>
      <w:pPr>
        <w:spacing w:before="60" w:after="100"/>
        <w:jc w:val="both"/>
      </w:pPr>
      <w:r>
        <w:rPr>
          <w:rFonts w:ascii="Arial" w:cs="Arial" w:eastAsia="Arial" w:hAnsi="Arial"/>
          <w:color w:val="2C2C2C"/>
          <w:sz w:val="22"/>
          <w:szCs w:val="22"/>
        </w:rPr>
        <w:t xml:space="preserve">Clinical utility was assessed using decision curve analysis (DCA) at 5-year overall survival. DCA evaluates the net benefit of using a model to guide clinical decisions across a range of threshold probabilities (the minimum probability of outcome at which a patient or clinician would opt for intervention). Predicted 5-year event risks were derived from the Cox proportional hazards models. DCA compares the clinical utility of N-stage-based versus LNR-based risk stratification against the reference strategies of treating all patients or treating no patients across a prespecified range of threshold probabilities.</w:t>
      </w:r>
    </w:p>
    <w:p>
      <w:pPr>
        <w:pStyle w:val="Heading2"/>
        <w:spacing w:before="280" w:after="100"/>
      </w:pPr>
      <w:r>
        <w:rPr>
          <w:rFonts w:ascii="Arial" w:cs="Arial" w:eastAsia="Arial" w:hAnsi="Arial"/>
          <w:b/>
          <w:bCs/>
          <w:color w:val="2E5496"/>
          <w:sz w:val="26"/>
          <w:szCs w:val="26"/>
        </w:rPr>
        <w:t xml:space="preserve">6.4 Internal Validation</w:t>
      </w:r>
    </w:p>
    <w:p>
      <w:pPr>
        <w:spacing w:before="60" w:after="100"/>
        <w:jc w:val="both"/>
      </w:pPr>
      <w:r>
        <w:rPr>
          <w:rFonts w:ascii="Arial" w:cs="Arial" w:eastAsia="Arial" w:hAnsi="Arial"/>
          <w:color w:val="2C2C2C"/>
          <w:sz w:val="22"/>
          <w:szCs w:val="22"/>
        </w:rPr>
        <w:t xml:space="preserve">Internal validity was assessed using bootstrap optimism-corrected discrimination, based on repeated bootstrap resampling. Overall model fit was additionally compared using AIC and BIC across the three-layer model hierarchy. In exploratory supplementary analyses only, net reclassification improvement (NRI) and integrated discrimination improvement (IDI) were calculated to describe incremental reclassification performance at the continuous and categorical levels. These indices were restricted to the supplementary analyses given their sensitivity to baseline risk and calibration.</w:t>
      </w:r>
    </w:p>
    <w:p>
      <w:pPr>
        <w:spacing w:before="40" w:after="40"/>
      </w:pPr>
      <w:r>
        <w:t xml:space="preserve"/>
      </w:r>
    </w:p>
    <w:p>
      <w:pPr>
        <w:pStyle w:val="Heading1"/>
        <w:pBdr>
          <w:bottom w:val="single" w:color="2E5496" w:sz="8" w:space="4"/>
        </w:pBdr>
        <w:spacing w:before="360" w:after="160"/>
      </w:pPr>
      <w:r>
        <w:rPr>
          <w:rFonts w:ascii="Arial" w:cs="Arial" w:eastAsia="Arial" w:hAnsi="Arial"/>
          <w:b/>
          <w:bCs/>
          <w:color w:val="1F3864"/>
          <w:sz w:val="32"/>
          <w:szCs w:val="32"/>
        </w:rPr>
        <w:t xml:space="preserve">7. Reclassification Analysis</w:t>
      </w:r>
    </w:p>
    <w:p>
      <w:pPr>
        <w:pStyle w:val="Heading2"/>
        <w:spacing w:before="280" w:after="100"/>
      </w:pPr>
      <w:r>
        <w:rPr>
          <w:rFonts w:ascii="Arial" w:cs="Arial" w:eastAsia="Arial" w:hAnsi="Arial"/>
          <w:b/>
          <w:bCs/>
          <w:color w:val="2E5496"/>
          <w:sz w:val="26"/>
          <w:szCs w:val="26"/>
        </w:rPr>
        <w:t xml:space="preserve">7.1 Cross-tabulation of N-Stage and LNR Tier</w:t>
      </w:r>
    </w:p>
    <w:p>
      <w:pPr>
        <w:spacing w:before="60" w:after="100"/>
        <w:jc w:val="both"/>
      </w:pPr>
      <w:r>
        <w:rPr>
          <w:rFonts w:ascii="Arial" w:cs="Arial" w:eastAsia="Arial" w:hAnsi="Arial"/>
          <w:color w:val="2C2C2C"/>
          <w:sz w:val="22"/>
          <w:szCs w:val="22"/>
        </w:rPr>
        <w:t xml:space="preserve">Reclassification analysis was performed by cross-tabulating pathological N-stage against LNR tier to quantify the distribution of patients across these parallel risk classification systems. Results were reported as counts, row percentages (the proportion of each N-stage group falling into each LNR tier), and column percentages (the proportion of each LNR tier contributed by each N-stage). This cross-tabulation reveals the extent to which LNR and N-stage provide concordant or discordant risk classification.</w:t>
      </w:r>
    </w:p>
    <w:p>
      <w:pPr>
        <w:pStyle w:val="Heading2"/>
        <w:spacing w:before="280" w:after="100"/>
      </w:pPr>
      <w:r>
        <w:rPr>
          <w:rFonts w:ascii="Arial" w:cs="Arial" w:eastAsia="Arial" w:hAnsi="Arial"/>
          <w:b/>
          <w:bCs/>
          <w:color w:val="2E5496"/>
          <w:sz w:val="26"/>
          <w:szCs w:val="26"/>
        </w:rPr>
        <w:t xml:space="preserve">7.2 Concordant and Discordant Classification</w:t>
      </w:r>
    </w:p>
    <w:p>
      <w:pPr>
        <w:spacing w:before="60" w:after="100"/>
        <w:jc w:val="both"/>
      </w:pPr>
      <w:r>
        <w:rPr>
          <w:rFonts w:ascii="Arial" w:cs="Arial" w:eastAsia="Arial" w:hAnsi="Arial"/>
          <w:color w:val="2C2C2C"/>
          <w:sz w:val="22"/>
          <w:szCs w:val="22"/>
        </w:rPr>
        <w:t xml:space="preserve">Patients were classified into concordant and discordant reclassification groups based on the expected risk relationship between N-stage and LNR tier:</w:t>
      </w:r>
    </w:p>
    <w:p>
      <w:pPr>
        <w:pStyle w:val="ListParagraph"/>
        <w:numPr>
          <w:ilvl w:val="0"/>
          <w:numId w:val="2"/>
        </w:numPr>
        <w:spacing w:before="40" w:after="40"/>
      </w:pPr>
      <w:r>
        <w:rPr>
          <w:rFonts w:ascii="Arial" w:cs="Arial" w:eastAsia="Arial" w:hAnsi="Arial"/>
          <w:color w:val="2C2C2C"/>
          <w:sz w:val="22"/>
          <w:szCs w:val="22"/>
        </w:rPr>
        <w:t xml:space="preserve">For N1 disease: Low and intermediate LNR were classified as concordant; high LNR was classified as upward reclassification (i.e., LNR suggests higher risk than N-stage alone)</w:t>
      </w:r>
    </w:p>
    <w:p>
      <w:pPr>
        <w:pStyle w:val="ListParagraph"/>
        <w:numPr>
          <w:ilvl w:val="0"/>
          <w:numId w:val="2"/>
        </w:numPr>
        <w:spacing w:before="40" w:after="40"/>
      </w:pPr>
      <w:r>
        <w:rPr>
          <w:rFonts w:ascii="Arial" w:cs="Arial" w:eastAsia="Arial" w:hAnsi="Arial"/>
          <w:color w:val="2C2C2C"/>
          <w:sz w:val="22"/>
          <w:szCs w:val="22"/>
        </w:rPr>
        <w:t xml:space="preserve">For N2 disease: High LNR was classified as concordant; low or intermediate LNR was classified as downward reclassification (i.e., LNR suggests lower risk than N-stage alone)</w:t>
      </w:r>
    </w:p>
    <w:p>
      <w:pPr>
        <w:spacing w:before="60" w:after="100"/>
        <w:jc w:val="both"/>
      </w:pPr>
      <w:r>
        <w:rPr>
          <w:rFonts w:ascii="Arial" w:cs="Arial" w:eastAsia="Arial" w:hAnsi="Arial"/>
          <w:color w:val="2C2C2C"/>
          <w:sz w:val="22"/>
          <w:szCs w:val="22"/>
        </w:rPr>
        <w:t xml:space="preserve">The proportion of concordant versus reclassified patients was calculated for the full analytic cohort, providing a summary of the extent to which LNR reclassifies patients relative to conventional N-staging.</w:t>
      </w:r>
    </w:p>
    <w:p>
      <w:pPr>
        <w:pStyle w:val="Heading2"/>
        <w:spacing w:before="280" w:after="100"/>
      </w:pPr>
      <w:r>
        <w:rPr>
          <w:rFonts w:ascii="Arial" w:cs="Arial" w:eastAsia="Arial" w:hAnsi="Arial"/>
          <w:b/>
          <w:bCs/>
          <w:color w:val="2E5496"/>
          <w:sz w:val="26"/>
          <w:szCs w:val="26"/>
        </w:rPr>
        <w:t xml:space="preserve">7.3 Survival by Reclassification Cell</w:t>
      </w:r>
    </w:p>
    <w:p>
      <w:pPr>
        <w:spacing w:before="60" w:after="100"/>
        <w:jc w:val="both"/>
      </w:pPr>
      <w:r>
        <w:rPr>
          <w:rFonts w:ascii="Arial" w:cs="Arial" w:eastAsia="Arial" w:hAnsi="Arial"/>
          <w:color w:val="2C2C2C"/>
          <w:sz w:val="22"/>
          <w:szCs w:val="22"/>
        </w:rPr>
        <w:t xml:space="preserve">Overall survival was evaluated within each N-stage × LNR cell using Kaplan–Meier survival analysis. Survival curves were compared using the log-rank test. Cells with very small sample sizes or no events were excluded from curve estimation to ensure reliability. Restricted mean survival time (RMST) was estimated for each cell up to the prespecified truncation time (the minimum of the 5-year RMST horizon and the maximum observed follow-up), providing a complementary model-free summary of survival experience within each reclassification category.</w:t>
      </w:r>
    </w:p>
    <w:p>
      <w:pPr>
        <w:pStyle w:val="Heading2"/>
        <w:spacing w:before="280" w:after="100"/>
      </w:pPr>
      <w:r>
        <w:rPr>
          <w:rFonts w:ascii="Arial" w:cs="Arial" w:eastAsia="Arial" w:hAnsi="Arial"/>
          <w:b/>
          <w:bCs/>
          <w:color w:val="2E5496"/>
          <w:sz w:val="26"/>
          <w:szCs w:val="26"/>
        </w:rPr>
        <w:t xml:space="preserve">7.4 Reclassification Heatmap</w:t>
      </w:r>
    </w:p>
    <w:p>
      <w:pPr>
        <w:spacing w:before="60" w:after="100"/>
        <w:jc w:val="both"/>
      </w:pPr>
      <w:r>
        <w:rPr>
          <w:rFonts w:ascii="Arial" w:cs="Arial" w:eastAsia="Arial" w:hAnsi="Arial"/>
          <w:color w:val="2C2C2C"/>
          <w:sz w:val="22"/>
          <w:szCs w:val="22"/>
        </w:rPr>
        <w:t xml:space="preserve">A heatmap was generated to display the frequency of patients in each N-stage × LNR tier cell, together with the corresponding overall mortality rate. This visualization provides an integrated summary of the reclassification pattern and the associated survival burden across the N-stage × LNR classification grid, enabling intuitive identification of cells where LNR provides clinically meaningful prognostic refinement beyond N-stage.</w:t>
      </w:r>
    </w:p>
    <w:p>
      <w:pPr>
        <w:spacing w:before="40" w:after="40"/>
      </w:pPr>
      <w:r>
        <w:t xml:space="preserve"/>
      </w:r>
    </w:p>
    <w:p>
      <w:pPr>
        <w:pStyle w:val="Heading1"/>
        <w:pBdr>
          <w:bottom w:val="single" w:color="2E5496" w:sz="8" w:space="4"/>
        </w:pBdr>
        <w:spacing w:before="360" w:after="160"/>
      </w:pPr>
      <w:r>
        <w:rPr>
          <w:rFonts w:ascii="Arial" w:cs="Arial" w:eastAsia="Arial" w:hAnsi="Arial"/>
          <w:b/>
          <w:bCs/>
          <w:color w:val="1F3864"/>
          <w:sz w:val="32"/>
          <w:szCs w:val="32"/>
        </w:rPr>
        <w:t xml:space="preserve">8. Subgroup and Sensitivity Analyses</w:t>
      </w:r>
    </w:p>
    <w:p>
      <w:pPr>
        <w:pStyle w:val="Heading2"/>
        <w:spacing w:before="280" w:after="100"/>
      </w:pPr>
      <w:r>
        <w:rPr>
          <w:rFonts w:ascii="Arial" w:cs="Arial" w:eastAsia="Arial" w:hAnsi="Arial"/>
          <w:b/>
          <w:bCs/>
          <w:color w:val="2E5496"/>
          <w:sz w:val="26"/>
          <w:szCs w:val="26"/>
        </w:rPr>
        <w:t xml:space="preserve">8.1 Prespecified Subgroup Analyses</w:t>
      </w:r>
    </w:p>
    <w:p>
      <w:pPr>
        <w:spacing w:before="60" w:after="100"/>
        <w:jc w:val="both"/>
      </w:pPr>
      <w:r>
        <w:rPr>
          <w:rFonts w:ascii="Arial" w:cs="Arial" w:eastAsia="Arial" w:hAnsi="Arial"/>
          <w:color w:val="2C2C2C"/>
          <w:sz w:val="22"/>
          <w:szCs w:val="22"/>
        </w:rPr>
        <w:t xml:space="preserve">Prespecified subgroup analyses were conducted to evaluate the robustness and clinical heterogeneity of the prognostic effects of LNR and N-stage on overall survival. Subgroup analyses were performed according to the following stratification variables:</w:t>
      </w:r>
    </w:p>
    <w:p>
      <w:pPr>
        <w:pStyle w:val="ListParagraph"/>
        <w:numPr>
          <w:ilvl w:val="0"/>
          <w:numId w:val="2"/>
        </w:numPr>
        <w:spacing w:before="40" w:after="40"/>
      </w:pPr>
      <w:r>
        <w:rPr>
          <w:rFonts w:ascii="Arial" w:cs="Arial" w:eastAsia="Arial" w:hAnsi="Arial"/>
          <w:color w:val="2C2C2C"/>
          <w:sz w:val="22"/>
          <w:szCs w:val="22"/>
        </w:rPr>
        <w:t xml:space="preserve">Lymph node retrieval adequacy: TLE &lt; 12 versus ≥ 12 examined nodes</w:t>
      </w:r>
    </w:p>
    <w:p>
      <w:pPr>
        <w:pStyle w:val="ListParagraph"/>
        <w:numPr>
          <w:ilvl w:val="0"/>
          <w:numId w:val="2"/>
        </w:numPr>
        <w:spacing w:before="40" w:after="40"/>
      </w:pPr>
      <w:r>
        <w:rPr>
          <w:rFonts w:ascii="Arial" w:cs="Arial" w:eastAsia="Arial" w:hAnsi="Arial"/>
          <w:color w:val="2C2C2C"/>
          <w:sz w:val="22"/>
          <w:szCs w:val="22"/>
        </w:rPr>
        <w:t xml:space="preserve">Tumor T-stage: T3/T4 versus T1/T2</w:t>
      </w:r>
    </w:p>
    <w:p>
      <w:pPr>
        <w:pStyle w:val="ListParagraph"/>
        <w:numPr>
          <w:ilvl w:val="0"/>
          <w:numId w:val="2"/>
        </w:numPr>
        <w:spacing w:before="40" w:after="40"/>
      </w:pPr>
      <w:r>
        <w:rPr>
          <w:rFonts w:ascii="Arial" w:cs="Arial" w:eastAsia="Arial" w:hAnsi="Arial"/>
          <w:color w:val="2C2C2C"/>
          <w:sz w:val="22"/>
          <w:szCs w:val="22"/>
        </w:rPr>
        <w:t xml:space="preserve">Nodal stage: N1 versus N2</w:t>
      </w:r>
    </w:p>
    <w:p>
      <w:pPr>
        <w:spacing w:before="60" w:after="100"/>
        <w:jc w:val="both"/>
      </w:pPr>
      <w:r>
        <w:rPr>
          <w:rFonts w:ascii="Arial" w:cs="Arial" w:eastAsia="Arial" w:hAnsi="Arial"/>
          <w:color w:val="2C2C2C"/>
          <w:sz w:val="22"/>
          <w:szCs w:val="22"/>
        </w:rPr>
        <w:t xml:space="preserve">Within each subgroup, univariable Cox proportional hazards regression models were fitted for both N-stage and LNR, and model discrimination was quantified using the concordance statistic (C-index). Kaplan–Meier survival curves were generated for LNR categories within clinically relevant subgroups, with between-group differences assessed using the log-rank test. A formal effect-modification analysis was planned by fitting an interaction model including LNR and binary TLE adequacy (LNR × TLE adequacy) in the Cox framework when the event count was sufficient to support this analysis.</w:t>
      </w:r>
    </w:p>
    <w:p>
      <w:pPr>
        <w:pStyle w:val="Heading2"/>
        <w:spacing w:before="280" w:after="100"/>
      </w:pPr>
      <w:r>
        <w:rPr>
          <w:rFonts w:ascii="Arial" w:cs="Arial" w:eastAsia="Arial" w:hAnsi="Arial"/>
          <w:b/>
          <w:bCs/>
          <w:color w:val="2E5496"/>
          <w:sz w:val="26"/>
          <w:szCs w:val="26"/>
        </w:rPr>
        <w:t xml:space="preserve">8.2 Landmark Analysis</w:t>
      </w:r>
    </w:p>
    <w:p>
      <w:pPr>
        <w:spacing w:before="60" w:after="100"/>
        <w:jc w:val="both"/>
      </w:pPr>
      <w:r>
        <w:rPr>
          <w:rFonts w:ascii="Arial" w:cs="Arial" w:eastAsia="Arial" w:hAnsi="Arial"/>
          <w:color w:val="2C2C2C"/>
          <w:sz w:val="22"/>
          <w:szCs w:val="22"/>
        </w:rPr>
        <w:t xml:space="preserve">A 6-month (180-day) landmark analysis was performed to reduce the potential influence of early postoperative mortality on the prognostic estimates. Patients with survival time of 180 days or less were excluded from the landmark cohort, and follow-up time was recalculated from the 180-day landmark. Cox models and Kaplan–Meier analyses were repeated in the landmark cohort to evaluate whether associations between LNR, N-stage, and survival were robust beyond the immediate perioperative period.</w:t>
      </w:r>
    </w:p>
    <w:p>
      <w:pPr>
        <w:pStyle w:val="Heading2"/>
        <w:spacing w:before="280" w:after="100"/>
      </w:pPr>
      <w:r>
        <w:rPr>
          <w:rFonts w:ascii="Arial" w:cs="Arial" w:eastAsia="Arial" w:hAnsi="Arial"/>
          <w:b/>
          <w:bCs/>
          <w:color w:val="2E5496"/>
          <w:sz w:val="26"/>
          <w:szCs w:val="26"/>
        </w:rPr>
        <w:t xml:space="preserve">8.3 Alternative Model Specifications</w:t>
      </w:r>
    </w:p>
    <w:p>
      <w:pPr>
        <w:spacing w:before="60" w:after="100"/>
        <w:jc w:val="both"/>
      </w:pPr>
      <w:r>
        <w:rPr>
          <w:rFonts w:ascii="Arial" w:cs="Arial" w:eastAsia="Arial" w:hAnsi="Arial"/>
          <w:color w:val="2C2C2C"/>
          <w:sz w:val="22"/>
          <w:szCs w:val="22"/>
        </w:rPr>
        <w:t xml:space="preserve">Additional sensitivity analyses were performed to evaluate the robustness of results across alternative covariate specifications:</w:t>
      </w:r>
    </w:p>
    <w:p>
      <w:pPr>
        <w:pStyle w:val="ListParagraph"/>
        <w:numPr>
          <w:ilvl w:val="0"/>
          <w:numId w:val="2"/>
        </w:numPr>
        <w:spacing w:before="40" w:after="40"/>
      </w:pPr>
      <w:r>
        <w:rPr>
          <w:rFonts w:ascii="Arial" w:cs="Arial" w:eastAsia="Arial" w:hAnsi="Arial"/>
          <w:color w:val="2C2C2C"/>
          <w:sz w:val="22"/>
          <w:szCs w:val="22"/>
        </w:rPr>
        <w:t xml:space="preserve">Binary TLE: Continuous or spline-modeled TLE was replaced with a binary adequacy indicator (≥12 nodes) in multivariable Cox models</w:t>
      </w:r>
    </w:p>
    <w:p>
      <w:pPr>
        <w:pStyle w:val="ListParagraph"/>
        <w:numPr>
          <w:ilvl w:val="0"/>
          <w:numId w:val="2"/>
        </w:numPr>
        <w:spacing w:before="40" w:after="40"/>
      </w:pPr>
      <w:r>
        <w:rPr>
          <w:rFonts w:ascii="Arial" w:cs="Arial" w:eastAsia="Arial" w:hAnsi="Arial"/>
          <w:color w:val="2C2C2C"/>
          <w:sz w:val="22"/>
          <w:szCs w:val="22"/>
        </w:rPr>
        <w:t xml:space="preserve">Alternative LNR cutpoints (0.05/0.40): A three-level categorization using 0.05 and 0.40 as thresholds was tested as an alternative to the primary Rosenberg categorization</w:t>
      </w:r>
    </w:p>
    <w:p>
      <w:pPr>
        <w:pStyle w:val="ListParagraph"/>
        <w:numPr>
          <w:ilvl w:val="0"/>
          <w:numId w:val="2"/>
        </w:numPr>
        <w:spacing w:before="40" w:after="40"/>
      </w:pPr>
      <w:r>
        <w:rPr>
          <w:rFonts w:ascii="Arial" w:cs="Arial" w:eastAsia="Arial" w:hAnsi="Arial"/>
          <w:color w:val="2C2C2C"/>
          <w:sz w:val="22"/>
          <w:szCs w:val="22"/>
        </w:rPr>
        <w:t xml:space="preserve">Binary LNR threshold (0.20): A binary LNR classification was evaluated as a simplified alternative categorization</w:t>
      </w:r>
    </w:p>
    <w:p>
      <w:pPr>
        <w:pStyle w:val="ListParagraph"/>
        <w:numPr>
          <w:ilvl w:val="0"/>
          <w:numId w:val="2"/>
        </w:numPr>
        <w:spacing w:before="40" w:after="40"/>
      </w:pPr>
      <w:r>
        <w:rPr>
          <w:rFonts w:ascii="Arial" w:cs="Arial" w:eastAsia="Arial" w:hAnsi="Arial"/>
          <w:color w:val="2C2C2C"/>
          <w:sz w:val="22"/>
          <w:szCs w:val="22"/>
        </w:rPr>
        <w:t xml:space="preserve">Alternative lymph node yield threshold (≥8 nodes): A stricter adequacy criterion was evaluated as a sensitivity to the conventional ≥12-node threshold</w:t>
      </w:r>
    </w:p>
    <w:p>
      <w:pPr>
        <w:spacing w:before="60" w:after="100"/>
        <w:jc w:val="both"/>
      </w:pPr>
      <w:r>
        <w:rPr>
          <w:rFonts w:ascii="Arial" w:cs="Arial" w:eastAsia="Arial" w:hAnsi="Arial"/>
          <w:color w:val="2C2C2C"/>
          <w:sz w:val="22"/>
          <w:szCs w:val="22"/>
        </w:rPr>
        <w:t xml:space="preserve">For each LNR specification, survival distributions were compared using Kaplan–Meier analysis and the log-rank test. Predictive performance was additionally compared across categorical and continuous LNR specifications using the concordance statistic, enabling a systematic evaluation of the optimal parameterization of LNR for prognostic modeling.</w:t>
      </w:r>
    </w:p>
    <w:p>
      <w:pPr>
        <w:spacing w:before="40" w:after="40"/>
      </w:pPr>
      <w:r>
        <w:t xml:space="preserve"/>
      </w:r>
    </w:p>
    <w:p>
      <w:pPr>
        <w:pStyle w:val="Heading1"/>
        <w:pBdr>
          <w:bottom w:val="single" w:color="2E5496" w:sz="8" w:space="4"/>
        </w:pBdr>
        <w:spacing w:before="360" w:after="160"/>
      </w:pPr>
      <w:r>
        <w:rPr>
          <w:rFonts w:ascii="Arial" w:cs="Arial" w:eastAsia="Arial" w:hAnsi="Arial"/>
          <w:b/>
          <w:bCs/>
          <w:color w:val="1F3864"/>
          <w:sz w:val="32"/>
          <w:szCs w:val="32"/>
        </w:rPr>
        <w:t xml:space="preserve">9. Cancer-Specific Survival – Competing Risks Analysis</w:t>
      </w:r>
    </w:p>
    <w:p>
      <w:pPr>
        <w:pStyle w:val="Heading2"/>
        <w:spacing w:before="280" w:after="100"/>
      </w:pPr>
      <w:r>
        <w:rPr>
          <w:rFonts w:ascii="Arial" w:cs="Arial" w:eastAsia="Arial" w:hAnsi="Arial"/>
          <w:b/>
          <w:bCs/>
          <w:color w:val="2E5496"/>
          <w:sz w:val="26"/>
          <w:szCs w:val="26"/>
        </w:rPr>
        <w:t xml:space="preserve">9.1 Analytical Framework</w:t>
      </w:r>
    </w:p>
    <w:p>
      <w:pPr>
        <w:spacing w:before="60" w:after="100"/>
        <w:jc w:val="both"/>
      </w:pPr>
      <w:r>
        <w:rPr>
          <w:rFonts w:ascii="Arial" w:cs="Arial" w:eastAsia="Arial" w:hAnsi="Arial"/>
          <w:color w:val="2C2C2C"/>
          <w:sz w:val="22"/>
          <w:szCs w:val="22"/>
        </w:rPr>
        <w:t xml:space="preserve">Cancer-specific survival (CSS) was analyzed as a competing-risks outcome to appropriately account for the competing event of non-cancer death. In this framework, non-cancer deaths were treated as the competing event, and alive or censored patients were coded as censored observations. Standard Kaplan–Meier methods are inappropriate in the presence of competing risks, as they overestimate the cumulative incidence by treating competing events as censored observations. The Fine–Gray subdistribution hazard model provides a principled alternative that directly models the subdistribution hazard of the primary event in the presence of competing risks.</w:t>
      </w:r>
    </w:p>
    <w:p>
      <w:pPr>
        <w:pStyle w:val="Heading2"/>
        <w:spacing w:before="280" w:after="100"/>
      </w:pPr>
      <w:r>
        <w:rPr>
          <w:rFonts w:ascii="Arial" w:cs="Arial" w:eastAsia="Arial" w:hAnsi="Arial"/>
          <w:b/>
          <w:bCs/>
          <w:color w:val="2E5496"/>
          <w:sz w:val="26"/>
          <w:szCs w:val="26"/>
        </w:rPr>
        <w:t xml:space="preserve">9.2 Eligibility Criteria for CSS Analysis</w:t>
      </w:r>
    </w:p>
    <w:p>
      <w:pPr>
        <w:spacing w:before="60" w:after="100"/>
        <w:jc w:val="both"/>
      </w:pPr>
      <w:r>
        <w:rPr>
          <w:rFonts w:ascii="Arial" w:cs="Arial" w:eastAsia="Arial" w:hAnsi="Arial"/>
          <w:color w:val="2C2C2C"/>
          <w:sz w:val="22"/>
          <w:szCs w:val="22"/>
        </w:rPr>
        <w:t xml:space="preserve">CSS analyses were performed only when cause-of-death information met a prespecified completeness threshold of at least 85% of events with valid cause-of-death data. If this threshold was not met, only descriptive results for CSS were reported, and inferential analyses were deferred to avoid bias from differential cause-of-death ascertainment.</w:t>
      </w:r>
    </w:p>
    <w:p>
      <w:pPr>
        <w:pStyle w:val="Heading2"/>
        <w:spacing w:before="280" w:after="100"/>
      </w:pPr>
      <w:r>
        <w:rPr>
          <w:rFonts w:ascii="Arial" w:cs="Arial" w:eastAsia="Arial" w:hAnsi="Arial"/>
          <w:b/>
          <w:bCs/>
          <w:color w:val="2E5496"/>
          <w:sz w:val="26"/>
          <w:szCs w:val="26"/>
        </w:rPr>
        <w:t xml:space="preserve">9.3 Cumulative Incidence Functions</w:t>
      </w:r>
    </w:p>
    <w:p>
      <w:pPr>
        <w:spacing w:before="60" w:after="100"/>
        <w:jc w:val="both"/>
      </w:pPr>
      <w:r>
        <w:rPr>
          <w:rFonts w:ascii="Arial" w:cs="Arial" w:eastAsia="Arial" w:hAnsi="Arial"/>
          <w:color w:val="2C2C2C"/>
          <w:sz w:val="22"/>
          <w:szCs w:val="22"/>
        </w:rPr>
        <w:t xml:space="preserve">Cumulative incidence functions (CIFs) for cancer-specific death were estimated using the nonparametric cumulative incidence approach implemented in the Fine and Gray competing-risks framework. Group differences in CIFs were assessed using Gray's test, which is the appropriate analogue of the log-rank test in the competing-risks setting. CIFs were estimated separately for groups defined by N-stage and LNR tier.</w:t>
      </w:r>
    </w:p>
    <w:p>
      <w:pPr>
        <w:pStyle w:val="Heading2"/>
        <w:spacing w:before="280" w:after="100"/>
      </w:pPr>
      <w:r>
        <w:rPr>
          <w:rFonts w:ascii="Arial" w:cs="Arial" w:eastAsia="Arial" w:hAnsi="Arial"/>
          <w:b/>
          <w:bCs/>
          <w:color w:val="2E5496"/>
          <w:sz w:val="26"/>
          <w:szCs w:val="26"/>
        </w:rPr>
        <w:t xml:space="preserve">9.4 Fine–Gray Regression Models</w:t>
      </w:r>
    </w:p>
    <w:p>
      <w:pPr>
        <w:spacing w:before="60" w:after="100"/>
        <w:jc w:val="both"/>
      </w:pPr>
      <w:r>
        <w:rPr>
          <w:rFonts w:ascii="Arial" w:cs="Arial" w:eastAsia="Arial" w:hAnsi="Arial"/>
          <w:color w:val="2C2C2C"/>
          <w:sz w:val="22"/>
          <w:szCs w:val="22"/>
        </w:rPr>
        <w:t xml:space="preserve">Subdistribution hazard ratios (sHRs) and 95% confidence intervals were estimated using Fine–Gray subdistribution hazard regression models. Separate Fine–Gray models were fitted for:</w:t>
      </w:r>
    </w:p>
    <w:p>
      <w:pPr>
        <w:pStyle w:val="ListParagraph"/>
        <w:numPr>
          <w:ilvl w:val="0"/>
          <w:numId w:val="2"/>
        </w:numPr>
        <w:spacing w:before="40" w:after="40"/>
      </w:pPr>
      <w:r>
        <w:rPr>
          <w:rFonts w:ascii="Arial" w:cs="Arial" w:eastAsia="Arial" w:hAnsi="Arial"/>
          <w:color w:val="2C2C2C"/>
          <w:sz w:val="22"/>
          <w:szCs w:val="22"/>
        </w:rPr>
        <w:t xml:space="preserve">N-stage (N1 vs. N2)</w:t>
      </w:r>
    </w:p>
    <w:p>
      <w:pPr>
        <w:pStyle w:val="ListParagraph"/>
        <w:numPr>
          <w:ilvl w:val="0"/>
          <w:numId w:val="2"/>
        </w:numPr>
        <w:spacing w:before="40" w:after="40"/>
      </w:pPr>
      <w:r>
        <w:rPr>
          <w:rFonts w:ascii="Arial" w:cs="Arial" w:eastAsia="Arial" w:hAnsi="Arial"/>
          <w:color w:val="2C2C2C"/>
          <w:sz w:val="22"/>
          <w:szCs w:val="22"/>
        </w:rPr>
        <w:t xml:space="preserve">LNR as a continuous variable</w:t>
      </w:r>
    </w:p>
    <w:p>
      <w:pPr>
        <w:pStyle w:val="ListParagraph"/>
        <w:numPr>
          <w:ilvl w:val="0"/>
          <w:numId w:val="2"/>
        </w:numPr>
        <w:spacing w:before="40" w:after="40"/>
      </w:pPr>
      <w:r>
        <w:rPr>
          <w:rFonts w:ascii="Arial" w:cs="Arial" w:eastAsia="Arial" w:hAnsi="Arial"/>
          <w:color w:val="2C2C2C"/>
          <w:sz w:val="22"/>
          <w:szCs w:val="22"/>
        </w:rPr>
        <w:t xml:space="preserve">LNR categorized into Rosenberg tiers</w:t>
      </w:r>
    </w:p>
    <w:p>
      <w:pPr>
        <w:spacing w:before="60" w:after="100"/>
        <w:jc w:val="both"/>
      </w:pPr>
      <w:r>
        <w:rPr>
          <w:rFonts w:ascii="Arial" w:cs="Arial" w:eastAsia="Arial" w:hAnsi="Arial"/>
          <w:color w:val="2C2C2C"/>
          <w:sz w:val="22"/>
          <w:szCs w:val="22"/>
        </w:rPr>
        <w:t xml:space="preserve">When the analytic tier permitted multivariable modeling, fully adjusted Fine–Gray models were additionally fitted incorporating the following covariates alongside N-stage or LNR: total number of examined lymph nodes (TLE), age, sex, T-stage group, tumor grade, and lymphovascular invasion. All CSS analyses were conducted using the cmprsk package in R.</w:t>
      </w:r>
    </w:p>
    <w:p>
      <w:pPr>
        <w:spacing w:before="40" w:after="40"/>
      </w:pPr>
      <w:r>
        <w:t xml:space="preserve"/>
      </w:r>
    </w:p>
    <w:p>
      <w:pPr>
        <w:pStyle w:val="Heading1"/>
        <w:pBdr>
          <w:bottom w:val="single" w:color="2E5496" w:sz="8" w:space="4"/>
        </w:pBdr>
        <w:spacing w:before="360" w:after="160"/>
      </w:pPr>
      <w:r>
        <w:rPr>
          <w:rFonts w:ascii="Arial" w:cs="Arial" w:eastAsia="Arial" w:hAnsi="Arial"/>
          <w:b/>
          <w:bCs/>
          <w:color w:val="1F3864"/>
          <w:sz w:val="32"/>
          <w:szCs w:val="32"/>
        </w:rPr>
        <w:t xml:space="preserve">10. Output Compilation and Reporting</w:t>
      </w:r>
    </w:p>
    <w:p>
      <w:pPr>
        <w:pStyle w:val="Heading2"/>
        <w:spacing w:before="280" w:after="100"/>
      </w:pPr>
      <w:r>
        <w:rPr>
          <w:rFonts w:ascii="Arial" w:cs="Arial" w:eastAsia="Arial" w:hAnsi="Arial"/>
          <w:b/>
          <w:bCs/>
          <w:color w:val="2E5496"/>
          <w:sz w:val="26"/>
          <w:szCs w:val="26"/>
        </w:rPr>
        <w:t xml:space="preserve">10.1 Patient Flow and Cohort Reporting</w:t>
      </w:r>
    </w:p>
    <w:p>
      <w:pPr>
        <w:spacing w:before="60" w:after="100"/>
        <w:jc w:val="both"/>
      </w:pPr>
      <w:r>
        <w:rPr>
          <w:rFonts w:ascii="Arial" w:cs="Arial" w:eastAsia="Arial" w:hAnsi="Arial"/>
          <w:color w:val="2C2C2C"/>
          <w:sz w:val="22"/>
          <w:szCs w:val="22"/>
        </w:rPr>
        <w:t xml:space="preserve">The final analytical workflow compiled all validated outputs into publication-ready tables and figures following completion of the preceding preprocessing and modeling steps. A CONSORT-style patient flow diagram was generated to document the sequential application of exclusion criteria and to derive the final analytic cohort, ensuring transparent reporting of cohort selection consistent with STROBE and TRIPOD guidelines for observational prognostic studies.</w:t>
      </w:r>
    </w:p>
    <w:p>
      <w:pPr>
        <w:pStyle w:val="Heading2"/>
        <w:spacing w:before="280" w:after="100"/>
      </w:pPr>
      <w:r>
        <w:rPr>
          <w:rFonts w:ascii="Arial" w:cs="Arial" w:eastAsia="Arial" w:hAnsi="Arial"/>
          <w:b/>
          <w:bCs/>
          <w:color w:val="2E5496"/>
          <w:sz w:val="26"/>
          <w:szCs w:val="26"/>
        </w:rPr>
        <w:t xml:space="preserve">10.2 Tables and Figures</w:t>
      </w:r>
    </w:p>
    <w:p>
      <w:pPr>
        <w:spacing w:before="60" w:after="100"/>
        <w:jc w:val="both"/>
      </w:pPr>
      <w:r>
        <w:rPr>
          <w:rFonts w:ascii="Arial" w:cs="Arial" w:eastAsia="Arial" w:hAnsi="Arial"/>
          <w:color w:val="2C2C2C"/>
          <w:sz w:val="22"/>
          <w:szCs w:val="22"/>
        </w:rPr>
        <w:t xml:space="preserve">The following primary tables and figures were generated as part of the standardized output compilation:</w:t>
      </w:r>
    </w:p>
    <w:p>
      <w:pPr>
        <w:pStyle w:val="ListParagraph"/>
        <w:numPr>
          <w:ilvl w:val="0"/>
          <w:numId w:val="2"/>
        </w:numPr>
        <w:spacing w:before="40" w:after="40"/>
      </w:pPr>
      <w:r>
        <w:rPr>
          <w:rFonts w:ascii="Arial" w:cs="Arial" w:eastAsia="Arial" w:hAnsi="Arial"/>
          <w:color w:val="2C2C2C"/>
          <w:sz w:val="22"/>
          <w:szCs w:val="22"/>
        </w:rPr>
        <w:t xml:space="preserve">Table 1: Baseline characteristics stratified by LNR tier and N-stage, with standardized mean differences</w:t>
      </w:r>
    </w:p>
    <w:p>
      <w:pPr>
        <w:pStyle w:val="ListParagraph"/>
        <w:numPr>
          <w:ilvl w:val="0"/>
          <w:numId w:val="2"/>
        </w:numPr>
        <w:spacing w:before="40" w:after="40"/>
      </w:pPr>
      <w:r>
        <w:rPr>
          <w:rFonts w:ascii="Arial" w:cs="Arial" w:eastAsia="Arial" w:hAnsi="Arial"/>
          <w:color w:val="2C2C2C"/>
          <w:sz w:val="22"/>
          <w:szCs w:val="22"/>
        </w:rPr>
        <w:t xml:space="preserve">Table 2: Unadjusted and multivariable Cox regression results for N-stage and LNR models across all three analytical layers, with hazard ratios, 95% CIs, and model performance metrics (AIC, BIC, C-statistic)</w:t>
      </w:r>
    </w:p>
    <w:p>
      <w:pPr>
        <w:pStyle w:val="ListParagraph"/>
        <w:numPr>
          <w:ilvl w:val="0"/>
          <w:numId w:val="2"/>
        </w:numPr>
        <w:spacing w:before="40" w:after="40"/>
      </w:pPr>
      <w:r>
        <w:rPr>
          <w:rFonts w:ascii="Arial" w:cs="Arial" w:eastAsia="Arial" w:hAnsi="Arial"/>
          <w:color w:val="2C2C2C"/>
          <w:sz w:val="22"/>
          <w:szCs w:val="22"/>
        </w:rPr>
        <w:t xml:space="preserve">Table 3: Reclassification cross-tabulation of N-stage by LNR tier with RMST and survival by cell</w:t>
      </w:r>
    </w:p>
    <w:p>
      <w:pPr>
        <w:pStyle w:val="ListParagraph"/>
        <w:numPr>
          <w:ilvl w:val="0"/>
          <w:numId w:val="2"/>
        </w:numPr>
        <w:spacing w:before="40" w:after="40"/>
      </w:pPr>
      <w:r>
        <w:rPr>
          <w:rFonts w:ascii="Arial" w:cs="Arial" w:eastAsia="Arial" w:hAnsi="Arial"/>
          <w:color w:val="2C2C2C"/>
          <w:sz w:val="22"/>
          <w:szCs w:val="22"/>
        </w:rPr>
        <w:t xml:space="preserve">Figure 1: Kaplan–Meier curves for OS stratified by N-stage</w:t>
      </w:r>
    </w:p>
    <w:p>
      <w:pPr>
        <w:pStyle w:val="ListParagraph"/>
        <w:numPr>
          <w:ilvl w:val="0"/>
          <w:numId w:val="2"/>
        </w:numPr>
        <w:spacing w:before="40" w:after="40"/>
      </w:pPr>
      <w:r>
        <w:rPr>
          <w:rFonts w:ascii="Arial" w:cs="Arial" w:eastAsia="Arial" w:hAnsi="Arial"/>
          <w:color w:val="2C2C2C"/>
          <w:sz w:val="22"/>
          <w:szCs w:val="22"/>
        </w:rPr>
        <w:t xml:space="preserve">Figure 2: Kaplan–Meier curves for OS stratified by LNR tier with pairwise comparisons</w:t>
      </w:r>
    </w:p>
    <w:p>
      <w:pPr>
        <w:pStyle w:val="ListParagraph"/>
        <w:numPr>
          <w:ilvl w:val="0"/>
          <w:numId w:val="2"/>
        </w:numPr>
        <w:spacing w:before="40" w:after="40"/>
      </w:pPr>
      <w:r>
        <w:rPr>
          <w:rFonts w:ascii="Arial" w:cs="Arial" w:eastAsia="Arial" w:hAnsi="Arial"/>
          <w:color w:val="2C2C2C"/>
          <w:sz w:val="22"/>
          <w:szCs w:val="22"/>
        </w:rPr>
        <w:t xml:space="preserve">Figure 3: Forest plot of adjusted hazard ratios from primary multivariable Cox model</w:t>
      </w:r>
    </w:p>
    <w:p>
      <w:pPr>
        <w:pStyle w:val="ListParagraph"/>
        <w:numPr>
          <w:ilvl w:val="0"/>
          <w:numId w:val="2"/>
        </w:numPr>
        <w:spacing w:before="40" w:after="40"/>
      </w:pPr>
      <w:r>
        <w:rPr>
          <w:rFonts w:ascii="Arial" w:cs="Arial" w:eastAsia="Arial" w:hAnsi="Arial"/>
          <w:color w:val="2C2C2C"/>
          <w:sz w:val="22"/>
          <w:szCs w:val="22"/>
        </w:rPr>
        <w:t xml:space="preserve">Figure 4: Reclassification heatmap of N-stage × LNR tier frequency and mortality</w:t>
      </w:r>
    </w:p>
    <w:p>
      <w:pPr>
        <w:pStyle w:val="ListParagraph"/>
        <w:numPr>
          <w:ilvl w:val="0"/>
          <w:numId w:val="2"/>
        </w:numPr>
        <w:spacing w:before="40" w:after="40"/>
      </w:pPr>
      <w:r>
        <w:rPr>
          <w:rFonts w:ascii="Arial" w:cs="Arial" w:eastAsia="Arial" w:hAnsi="Arial"/>
          <w:color w:val="2C2C2C"/>
          <w:sz w:val="22"/>
          <w:szCs w:val="22"/>
        </w:rPr>
        <w:t xml:space="preserve">Figure 5: Decision curve analysis at 5-year OS comparing N-stage and LNR models</w:t>
      </w:r>
    </w:p>
    <w:p>
      <w:pPr>
        <w:pStyle w:val="ListParagraph"/>
        <w:numPr>
          <w:ilvl w:val="0"/>
          <w:numId w:val="2"/>
        </w:numPr>
        <w:spacing w:before="40" w:after="40"/>
      </w:pPr>
      <w:r>
        <w:rPr>
          <w:rFonts w:ascii="Arial" w:cs="Arial" w:eastAsia="Arial" w:hAnsi="Arial"/>
          <w:color w:val="2C2C2C"/>
          <w:sz w:val="22"/>
          <w:szCs w:val="22"/>
        </w:rPr>
        <w:t xml:space="preserve">Figure 6: Bootstrap calibration plots at 5 years for N-stage and LNR models</w:t>
      </w:r>
    </w:p>
    <w:p>
      <w:pPr>
        <w:pStyle w:val="ListParagraph"/>
        <w:numPr>
          <w:ilvl w:val="0"/>
          <w:numId w:val="2"/>
        </w:numPr>
        <w:spacing w:before="40" w:after="40"/>
      </w:pPr>
      <w:r>
        <w:rPr>
          <w:rFonts w:ascii="Arial" w:cs="Arial" w:eastAsia="Arial" w:hAnsi="Arial"/>
          <w:color w:val="2C2C2C"/>
          <w:sz w:val="22"/>
          <w:szCs w:val="22"/>
        </w:rPr>
        <w:t xml:space="preserve">Figure 7: Composite Kaplan–Meier survival figures for subgroup analyses</w:t>
      </w:r>
    </w:p>
    <w:p>
      <w:pPr>
        <w:pStyle w:val="Heading2"/>
        <w:spacing w:before="280" w:after="100"/>
      </w:pPr>
      <w:r>
        <w:rPr>
          <w:rFonts w:ascii="Arial" w:cs="Arial" w:eastAsia="Arial" w:hAnsi="Arial"/>
          <w:b/>
          <w:bCs/>
          <w:color w:val="2E5496"/>
          <w:sz w:val="26"/>
          <w:szCs w:val="26"/>
        </w:rPr>
        <w:t xml:space="preserve">10.3 Subgroup and Cancer-Specific Survival Reporting</w:t>
      </w:r>
    </w:p>
    <w:p>
      <w:pPr>
        <w:spacing w:before="60" w:after="100"/>
        <w:jc w:val="both"/>
      </w:pPr>
      <w:r>
        <w:rPr>
          <w:rFonts w:ascii="Arial" w:cs="Arial" w:eastAsia="Arial" w:hAnsi="Arial"/>
          <w:color w:val="2C2C2C"/>
          <w:sz w:val="22"/>
          <w:szCs w:val="22"/>
        </w:rPr>
        <w:t xml:space="preserve">Subgroup and sensitivity analyses were reported as supplementary tables and figures, including concordance statistics for each subgroup, Kaplan–Meier plots for LNR categories within TLE adequacy and T-stage strata, landmark analysis results, and alternative LNR categorization performance. Cancer-specific survival results, including cumulative incidence functions and Fine–Gray subdistribution hazard ratios, were reported in a dedicated supplementary section when cause-of-death completeness met the prespecified threshold.</w:t>
      </w:r>
    </w:p>
    <w:p>
      <w:pPr>
        <w:spacing w:before="40" w:after="40"/>
      </w:pPr>
      <w:r>
        <w:t xml:space="preserve"/>
      </w:r>
    </w:p>
    <w:p>
      <w:pPr>
        <w:pStyle w:val="Heading1"/>
        <w:pBdr>
          <w:bottom w:val="single" w:color="2E5496" w:sz="8" w:space="4"/>
        </w:pBdr>
        <w:spacing w:before="360" w:after="160"/>
      </w:pPr>
      <w:r>
        <w:rPr>
          <w:rFonts w:ascii="Arial" w:cs="Arial" w:eastAsia="Arial" w:hAnsi="Arial"/>
          <w:b/>
          <w:bCs/>
          <w:color w:val="1F3864"/>
          <w:sz w:val="32"/>
          <w:szCs w:val="32"/>
        </w:rPr>
        <w:t xml:space="preserve">11. Software and Statistical Packages</w:t>
      </w:r>
    </w:p>
    <w:p>
      <w:pPr>
        <w:spacing w:before="60" w:after="100"/>
        <w:jc w:val="both"/>
      </w:pPr>
      <w:r>
        <w:rPr>
          <w:rFonts w:ascii="Arial" w:cs="Arial" w:eastAsia="Arial" w:hAnsi="Arial"/>
          <w:color w:val="2C2C2C"/>
          <w:sz w:val="22"/>
          <w:szCs w:val="22"/>
        </w:rPr>
        <w:t xml:space="preserve">All analyses were performed in R (version specified in the analytic configuration file). The following primary R packages were utilized:</w:t>
      </w:r>
    </w:p>
    <w:p>
      <w:pPr>
        <w:pStyle w:val="ListParagraph"/>
        <w:numPr>
          <w:ilvl w:val="0"/>
          <w:numId w:val="2"/>
        </w:numPr>
        <w:spacing w:before="40" w:after="40"/>
      </w:pPr>
      <w:r>
        <w:rPr>
          <w:rFonts w:ascii="Arial" w:cs="Arial" w:eastAsia="Arial" w:hAnsi="Arial"/>
          <w:color w:val="2C2C2C"/>
          <w:sz w:val="22"/>
          <w:szCs w:val="22"/>
        </w:rPr>
        <w:t xml:space="preserve">survival: Cox proportional hazards regression, Kaplan–Meier estimation, log-rank testing</w:t>
      </w:r>
    </w:p>
    <w:p>
      <w:pPr>
        <w:pStyle w:val="ListParagraph"/>
        <w:numPr>
          <w:ilvl w:val="0"/>
          <w:numId w:val="2"/>
        </w:numPr>
        <w:spacing w:before="40" w:after="40"/>
      </w:pPr>
      <w:r>
        <w:rPr>
          <w:rFonts w:ascii="Arial" w:cs="Arial" w:eastAsia="Arial" w:hAnsi="Arial"/>
          <w:color w:val="2C2C2C"/>
          <w:sz w:val="22"/>
          <w:szCs w:val="22"/>
        </w:rPr>
        <w:t xml:space="preserve">rms: Extended Cox regression with RCS support, model calibration, bootstrap validation (datadist, cph, validate, calibrate)</w:t>
      </w:r>
    </w:p>
    <w:p>
      <w:pPr>
        <w:pStyle w:val="ListParagraph"/>
        <w:numPr>
          <w:ilvl w:val="0"/>
          <w:numId w:val="2"/>
        </w:numPr>
        <w:spacing w:before="40" w:after="40"/>
      </w:pPr>
      <w:r>
        <w:rPr>
          <w:rFonts w:ascii="Arial" w:cs="Arial" w:eastAsia="Arial" w:hAnsi="Arial"/>
          <w:color w:val="2C2C2C"/>
          <w:sz w:val="22"/>
          <w:szCs w:val="22"/>
        </w:rPr>
        <w:t xml:space="preserve">survminer: Kaplan–Meier survival curve visualization</w:t>
      </w:r>
    </w:p>
    <w:p>
      <w:pPr>
        <w:pStyle w:val="ListParagraph"/>
        <w:numPr>
          <w:ilvl w:val="0"/>
          <w:numId w:val="2"/>
        </w:numPr>
        <w:spacing w:before="40" w:after="40"/>
      </w:pPr>
      <w:r>
        <w:rPr>
          <w:rFonts w:ascii="Arial" w:cs="Arial" w:eastAsia="Arial" w:hAnsi="Arial"/>
          <w:color w:val="2C2C2C"/>
          <w:sz w:val="22"/>
          <w:szCs w:val="22"/>
        </w:rPr>
        <w:t xml:space="preserve">cmprsk: Cumulative incidence function estimation, Gray's test, Fine–Gray regression</w:t>
      </w:r>
    </w:p>
    <w:p>
      <w:pPr>
        <w:pStyle w:val="ListParagraph"/>
        <w:numPr>
          <w:ilvl w:val="0"/>
          <w:numId w:val="2"/>
        </w:numPr>
        <w:spacing w:before="40" w:after="40"/>
      </w:pPr>
      <w:r>
        <w:rPr>
          <w:rFonts w:ascii="Arial" w:cs="Arial" w:eastAsia="Arial" w:hAnsi="Arial"/>
          <w:color w:val="2C2C2C"/>
          <w:sz w:val="22"/>
          <w:szCs w:val="22"/>
        </w:rPr>
        <w:t xml:space="preserve">tableone: Baseline characteristic table creation with standardized mean differences</w:t>
      </w:r>
    </w:p>
    <w:p>
      <w:pPr>
        <w:pStyle w:val="ListParagraph"/>
        <w:numPr>
          <w:ilvl w:val="0"/>
          <w:numId w:val="2"/>
        </w:numPr>
        <w:spacing w:before="40" w:after="40"/>
      </w:pPr>
      <w:r>
        <w:rPr>
          <w:rFonts w:ascii="Arial" w:cs="Arial" w:eastAsia="Arial" w:hAnsi="Arial"/>
          <w:color w:val="2C2C2C"/>
          <w:sz w:val="22"/>
          <w:szCs w:val="22"/>
        </w:rPr>
        <w:t xml:space="preserve">mice: Multiple imputation by chained equations for missing data</w:t>
      </w:r>
    </w:p>
    <w:p>
      <w:pPr>
        <w:pStyle w:val="ListParagraph"/>
        <w:numPr>
          <w:ilvl w:val="0"/>
          <w:numId w:val="2"/>
        </w:numPr>
        <w:spacing w:before="40" w:after="40"/>
      </w:pPr>
      <w:r>
        <w:rPr>
          <w:rFonts w:ascii="Arial" w:cs="Arial" w:eastAsia="Arial" w:hAnsi="Arial"/>
          <w:color w:val="2C2C2C"/>
          <w:sz w:val="22"/>
          <w:szCs w:val="22"/>
        </w:rPr>
        <w:t xml:space="preserve">dcurves: Decision curve analysis</w:t>
      </w:r>
    </w:p>
    <w:p>
      <w:pPr>
        <w:pStyle w:val="ListParagraph"/>
        <w:numPr>
          <w:ilvl w:val="0"/>
          <w:numId w:val="2"/>
        </w:numPr>
        <w:spacing w:before="40" w:after="40"/>
      </w:pPr>
      <w:r>
        <w:rPr>
          <w:rFonts w:ascii="Arial" w:cs="Arial" w:eastAsia="Arial" w:hAnsi="Arial"/>
          <w:color w:val="2C2C2C"/>
          <w:sz w:val="22"/>
          <w:szCs w:val="22"/>
        </w:rPr>
        <w:t xml:space="preserve">ggplot2: General visualization and figure generation</w:t>
      </w:r>
    </w:p>
    <w:p>
      <w:pPr>
        <w:pStyle w:val="ListParagraph"/>
        <w:numPr>
          <w:ilvl w:val="0"/>
          <w:numId w:val="2"/>
        </w:numPr>
        <w:spacing w:before="40" w:after="40"/>
      </w:pPr>
      <w:r>
        <w:rPr>
          <w:rFonts w:ascii="Arial" w:cs="Arial" w:eastAsia="Arial" w:hAnsi="Arial"/>
          <w:color w:val="2C2C2C"/>
          <w:sz w:val="22"/>
          <w:szCs w:val="22"/>
        </w:rPr>
        <w:t xml:space="preserve">patchwork / cowplot: Figure composition and panel arrangement</w:t>
      </w:r>
    </w:p>
    <w:p>
      <w:pPr>
        <w:pStyle w:val="ListParagraph"/>
        <w:numPr>
          <w:ilvl w:val="0"/>
          <w:numId w:val="2"/>
        </w:numPr>
        <w:spacing w:before="40" w:after="40"/>
      </w:pPr>
      <w:r>
        <w:rPr>
          <w:rFonts w:ascii="Arial" w:cs="Arial" w:eastAsia="Arial" w:hAnsi="Arial"/>
          <w:color w:val="2C2C2C"/>
          <w:sz w:val="22"/>
          <w:szCs w:val="22"/>
        </w:rPr>
        <w:t xml:space="preserve">dplyr / tidyr: Data manipulation and reshaping</w:t>
      </w:r>
    </w:p>
    <w:p>
      <w:pPr>
        <w:pStyle w:val="ListParagraph"/>
        <w:numPr>
          <w:ilvl w:val="0"/>
          <w:numId w:val="2"/>
        </w:numPr>
        <w:spacing w:before="40" w:after="40"/>
      </w:pPr>
      <w:r>
        <w:rPr>
          <w:rFonts w:ascii="Arial" w:cs="Arial" w:eastAsia="Arial" w:hAnsi="Arial"/>
          <w:color w:val="2C2C2C"/>
          <w:sz w:val="22"/>
          <w:szCs w:val="22"/>
        </w:rPr>
        <w:t xml:space="preserve">boot: Bootstrap resampling for BCa confidence intervals</w:t>
      </w:r>
    </w:p>
    <w:p>
      <w:pPr>
        <w:spacing w:before="60" w:after="100"/>
        <w:jc w:val="both"/>
      </w:pPr>
      <w:r>
        <w:rPr>
          <w:rFonts w:ascii="Arial" w:cs="Arial" w:eastAsia="Arial" w:hAnsi="Arial"/>
          <w:color w:val="2C2C2C"/>
          <w:sz w:val="22"/>
          <w:szCs w:val="22"/>
        </w:rPr>
        <w:t xml:space="preserve">The analysis workflow was implemented as a numbered series of R scripts (00–09) corresponding to each methodological component, enabling modular execution, reproducibility, and independent verification of individual analytical steps. The workflow is designed as a plug-and-play pipeline and may be applied to any similarly structured node-positive colorectal cancer dataset conforming to the prespecified variable naming conventions and coding schema.</w:t>
      </w:r>
    </w:p>
    <w:p>
      <w:pPr>
        <w:spacing w:before="40" w:after="40"/>
      </w:pPr>
      <w:r>
        <w:t xml:space="preserve"/>
      </w:r>
    </w:p>
    <w:p>
      <w:pPr>
        <w:pStyle w:val="Heading1"/>
        <w:pBdr>
          <w:bottom w:val="single" w:color="2E5496" w:sz="8" w:space="4"/>
        </w:pBdr>
        <w:spacing w:before="360" w:after="160"/>
      </w:pPr>
      <w:r>
        <w:rPr>
          <w:rFonts w:ascii="Arial" w:cs="Arial" w:eastAsia="Arial" w:hAnsi="Arial"/>
          <w:b/>
          <w:bCs/>
          <w:color w:val="1F3864"/>
          <w:sz w:val="32"/>
          <w:szCs w:val="32"/>
        </w:rPr>
        <w:t xml:space="preserve">12. Methodological Considerations and Limitations</w:t>
      </w:r>
    </w:p>
    <w:p>
      <w:pPr>
        <w:spacing w:before="60" w:after="100"/>
        <w:jc w:val="both"/>
      </w:pPr>
      <w:r>
        <w:rPr>
          <w:rFonts w:ascii="Arial" w:cs="Arial" w:eastAsia="Arial" w:hAnsi="Arial"/>
          <w:color w:val="2C2C2C"/>
          <w:sz w:val="22"/>
          <w:szCs w:val="22"/>
        </w:rPr>
        <w:t xml:space="preserve">Several methodological considerations are relevant to the interpretation of this analysis. First, the use of LNR as a prognostic marker is inherently susceptible to confounding by lymph node yield, since both the numerator (positive nodes) and denominator (total examined nodes) are subject to variation due to surgical technique, pathological examination thoroughness, and anatomical factors. The inclusion of TLE as a covariate in Layer 2 and Layer 3 models, and the LNR × TLE adequacy interaction analysis, were specifically prespecified to address this concern.</w:t>
      </w:r>
    </w:p>
    <w:p>
      <w:pPr>
        <w:spacing w:before="60" w:after="100"/>
        <w:jc w:val="both"/>
      </w:pPr>
      <w:r>
        <w:rPr>
          <w:rFonts w:ascii="Arial" w:cs="Arial" w:eastAsia="Arial" w:hAnsi="Arial"/>
          <w:color w:val="2C2C2C"/>
          <w:sz w:val="22"/>
          <w:szCs w:val="22"/>
        </w:rPr>
        <w:t xml:space="preserve">Second, complete-case analysis as the primary missing data approach may introduce bias if data are not missing completely at random (MCAR). The prespecified MICE sensitivity analysis addresses this by imputing missing values under the assumption of missing at random (MAR), which is generally more plausible in clinical registry data.</w:t>
      </w:r>
    </w:p>
    <w:p>
      <w:pPr>
        <w:spacing w:before="60" w:after="100"/>
        <w:jc w:val="both"/>
      </w:pPr>
      <w:r>
        <w:rPr>
          <w:rFonts w:ascii="Arial" w:cs="Arial" w:eastAsia="Arial" w:hAnsi="Arial"/>
          <w:color w:val="2C2C2C"/>
          <w:sz w:val="22"/>
          <w:szCs w:val="22"/>
        </w:rPr>
        <w:t xml:space="preserve">Third, bootstrap-based internal validation addresses overfitting within the derivation dataset but does not provide evidence of external generalizability. Results should be interpreted as internally valid prognostic associations within the analytical cohort, pending external validation in independent datasets.</w:t>
      </w:r>
    </w:p>
    <w:p>
      <w:pPr>
        <w:spacing w:before="60" w:after="100"/>
        <w:jc w:val="both"/>
      </w:pPr>
      <w:r>
        <w:rPr>
          <w:rFonts w:ascii="Arial" w:cs="Arial" w:eastAsia="Arial" w:hAnsi="Arial"/>
          <w:color w:val="2C2C2C"/>
          <w:sz w:val="22"/>
          <w:szCs w:val="22"/>
        </w:rPr>
        <w:t xml:space="preserve">Fourth, cancer-specific survival analyses require accurate cause-of-death ascertainment. The prespecified completeness threshold of ≥85% was established to minimize misclassification bias in the competing-risks models. Where this threshold is not met, CSS analyses are restricted to descriptive reporting.</w:t>
      </w:r>
    </w:p>
    <w:p>
      <w:pPr>
        <w:spacing w:before="60" w:after="100"/>
        <w:jc w:val="both"/>
      </w:pPr>
      <w:r>
        <w:rPr>
          <w:rFonts w:ascii="Arial" w:cs="Arial" w:eastAsia="Arial" w:hAnsi="Arial"/>
          <w:color w:val="2C2C2C"/>
          <w:sz w:val="22"/>
          <w:szCs w:val="22"/>
        </w:rPr>
        <w:t xml:space="preserve">Fifth, all subgroup analyses were prespecified to minimize the risk of data-driven hypothesis generation. Interaction tests were the primary basis for inference regarding effect modification, and subgroup-specific estimates should be interpreted with appropriate caution given reduced statistical power within individual strata.</w:t>
      </w:r>
    </w:p>
    <w:p>
      <w:pPr>
        <w:spacing w:before="40" w:after="40"/>
      </w:pPr>
      <w:r>
        <w:t xml:space="preserve"/>
      </w:r>
    </w:p>
    <w:p>
      <w:pPr>
        <w:pBdr>
          <w:top w:val="single" w:color="1F3864" w:sz="8" w:space="4"/>
        </w:pBdr>
      </w:pPr>
      <w:r>
        <w:t xml:space="preserve"/>
      </w:r>
    </w:p>
    <w:p>
      <w:pPr>
        <w:spacing w:before="120" w:after="80"/>
        <w:jc w:val="center"/>
      </w:pPr>
      <w:r>
        <w:rPr>
          <w:rFonts w:ascii="Arial" w:cs="Arial" w:eastAsia="Arial" w:hAnsi="Arial"/>
          <w:i/>
          <w:iCs/>
          <w:color w:val="555555"/>
          <w:sz w:val="18"/>
          <w:szCs w:val="18"/>
        </w:rPr>
        <w:t xml:space="preserve">This methodology document describes a pre-specified, reproducible analytical pipeline for the comparative evaluation of N-stage and lymph node ratio as prognostic indicators in node-positive colorectal cancer. All analytical decisions were prespecified prior to data analysis to minimize the risk of outcome-driven specification bias.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i/>
        <w:iCs/>
        <w:color w:val="666666"/>
        <w:sz w:val="18"/>
        <w:szCs w:val="18"/>
      </w:rPr>
      <w:t xml:space="preserve">Statistical Methodology: N-Stage vs. Lymph Node Ratio in Node-Positive Colorectal Cancer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60"/>
      <w:outlineLvl w:val="0"/>
    </w:pPr>
    <w:rPr>
      <w:rFonts w:ascii="Arial" w:cs="Arial" w:eastAsia="Arial" w:hAnsi="Arial"/>
      <w:b/>
      <w:bCs/>
      <w:color w:val="1F3864"/>
      <w:sz w:val="32"/>
      <w:szCs w:val="32"/>
    </w:rPr>
  </w:style>
  <w:style w:type="paragraph" w:styleId="Heading2">
    <w:name w:val="Heading 2"/>
    <w:basedOn w:val="Normal"/>
    <w:next w:val="Normal"/>
    <w:pPr>
      <w:spacing w:before="280" w:after="100"/>
      <w:outlineLvl w:val="1"/>
    </w:pPr>
    <w:rPr>
      <w:rFonts w:ascii="Arial" w:cs="Arial" w:eastAsia="Arial" w:hAnsi="Arial"/>
      <w:b/>
      <w:bCs/>
      <w:color w:val="2E5496"/>
      <w:sz w:val="26"/>
      <w:szCs w:val="26"/>
    </w:rPr>
  </w:style>
  <w:style w:type="paragraph" w:styleId="Heading3">
    <w:name w:val="Heading 3"/>
    <w:basedOn w:val="Normal"/>
    <w:next w:val="Normal"/>
    <w:pPr>
      <w:spacing w:before="200" w:after="80"/>
      <w:outlineLvl w:val="2"/>
    </w:pPr>
    <w:rPr>
      <w:rFonts w:ascii="Arial" w:cs="Arial" w:eastAsia="Arial" w:hAnsi="Arial"/>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2026-03-29T23:47:28.584Z</dcterms:created>
  <dcterms:modified xsi:type="dcterms:W3CDTF">2026-03-29T23:47:28.585Z</dcterms:modified>
</cp:coreProperties>
</file>

<file path=docProps/custom.xml><?xml version="1.0" encoding="utf-8"?>
<Properties xmlns="http://schemas.openxmlformats.org/officeDocument/2006/custom-properties" xmlns:vt="http://schemas.openxmlformats.org/officeDocument/2006/docPropsVTypes"/>
</file>