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PAMANTASAN NG LUNGSOD NG PASIG</w:t>
      </w:r>
    </w:p>
    <w:p>
      <w:pPr>
        <w:pStyle w:val="Title"/>
      </w:pPr>
      <w:r>
        <w:t>Compliance and Regulatory Reporting Module Documentation</w:t>
      </w:r>
    </w:p>
    <w:p>
      <w:pPr>
        <w:spacing w:after="360"/>
      </w:pPr>
      <w:r>
        <w:rPr>
          <w:rFonts w:ascii="Aptos" w:hAnsi="Aptos"/>
          <w:b w:val="0"/>
          <w:color w:val="5E6D65"/>
          <w:sz w:val="24"/>
        </w:rPr>
        <w:t>Business process, functional requirements, validations, controls, and acceptance specification</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7"/>
              </w:rPr>
              <w:t>Document attribute</w:t>
            </w:r>
          </w:p>
        </w:tc>
        <w:tc>
          <w:tcPr>
            <w:tcW w:type="dxa" w:w="727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7"/>
              </w:rPr>
              <w:t>Value</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Document version</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1.0</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7"/>
              </w:rPr>
              <w:t>Document status</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7"/>
              </w:rPr>
              <w:t>Implementation baseline</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Prepared for</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Pamantasan ng Lungsod ng Pasig</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7"/>
              </w:rPr>
              <w:t>Prepared on</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7"/>
              </w:rPr>
              <w:t>13 September 2026</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Primary module owner</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Registrar with Institutional Planning and Compliance</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7"/>
              </w:rPr>
              <w:t>System area</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7"/>
              </w:rPr>
              <w:t>Registrar Portal  &gt;  Reports  &gt;  Compliance and Regulatory</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Classification</w:t>
            </w:r>
          </w:p>
        </w:tc>
        <w:tc>
          <w:tcPr>
            <w:tcW w:type="dxa" w:w="72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7"/>
              </w:rPr>
              <w:t>Internal controlled documentation</w:t>
            </w:r>
          </w:p>
        </w:tc>
      </w:tr>
    </w:tbl>
    <w:p>
      <w:pPr>
        <w:spacing w:after="0"/>
      </w:pPr>
    </w:p>
    <w:p>
      <w:pPr>
        <w:pStyle w:val="Heading2"/>
      </w:pPr>
      <w:r>
        <w:t>Document purpose</w:t>
      </w:r>
    </w:p>
    <w:p>
      <w:pPr>
        <w:pStyle w:val="BodyText"/>
      </w:pPr>
      <w:r>
        <w:t>This document defines the target business process and system behavior for monitoring institutional reporting obligations, validating source-data readiness, approving report packages, recording submission acknowledgements, and retaining auditable evidence. It is written to support implementation, review, training, and user acceptance testing.</w:t>
      </w:r>
    </w:p>
    <w:p>
      <w:pPr>
        <w:pStyle w:val="BodyText"/>
      </w:pPr>
      <w:r>
        <w:t>Important qualification: the module is a readiness and control register. It does not itself determine legal compliance. Agency forms, deadlines, documentary requirements, submission channels, and retention rules must be verified against the latest official advisory by the accountable owner before submission.</w:t>
      </w:r>
    </w:p>
    <w:p>
      <w:pPr>
        <w:pStyle w:val="Heading2"/>
      </w:pPr>
      <w:r>
        <w:t>Approval record</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7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Role</w:t>
            </w:r>
          </w:p>
        </w:tc>
        <w:tc>
          <w:tcPr>
            <w:tcW w:type="dxa" w:w="316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Name</w:t>
            </w:r>
          </w:p>
        </w:tc>
        <w:tc>
          <w:tcPr>
            <w:tcW w:type="dxa" w:w="230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Decision</w:t>
            </w:r>
          </w:p>
        </w:tc>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Date</w:t>
            </w:r>
          </w:p>
        </w:tc>
      </w:tr>
      <w:tr>
        <w:trPr>
          <w:cantSplit/>
        </w:trPr>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Registrar</w:t>
            </w:r>
          </w:p>
        </w:tc>
        <w:tc>
          <w:tcPr>
            <w:tcW w:type="dxa" w:w="316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r>
          </w:p>
        </w:tc>
        <w:tc>
          <w:tcPr>
            <w:tcW w:type="dxa" w:w="230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Approve / return</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r>
          </w:p>
        </w:tc>
      </w:tr>
      <w:tr>
        <w:trPr>
          <w:cantSplit/>
        </w:trPr>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Institutional Planning or Compliance Head</w:t>
            </w:r>
          </w:p>
        </w:tc>
        <w:tc>
          <w:tcPr>
            <w:tcW w:type="dxa" w:w="316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r>
          </w:p>
        </w:tc>
        <w:tc>
          <w:tcPr>
            <w:tcW w:type="dxa" w:w="230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Approve / return</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r>
          </w:p>
        </w:tc>
      </w:tr>
      <w:tr>
        <w:trPr>
          <w:cantSplit/>
        </w:trPr>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Data Protection Officer</w:t>
            </w:r>
          </w:p>
        </w:tc>
        <w:tc>
          <w:tcPr>
            <w:tcW w:type="dxa" w:w="316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r>
          </w:p>
        </w:tc>
        <w:tc>
          <w:tcPr>
            <w:tcW w:type="dxa" w:w="230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Approve privacy controls</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r>
          </w:p>
        </w:tc>
      </w:tr>
      <w:tr>
        <w:trPr>
          <w:cantSplit/>
        </w:trPr>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Information Technology</w:t>
            </w:r>
          </w:p>
        </w:tc>
        <w:tc>
          <w:tcPr>
            <w:tcW w:type="dxa" w:w="316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r>
          </w:p>
        </w:tc>
        <w:tc>
          <w:tcPr>
            <w:tcW w:type="dxa" w:w="230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Confirm implementation</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r>
          </w:p>
        </w:tc>
      </w:tr>
    </w:tbl>
    <w:p>
      <w:pPr>
        <w:spacing w:after="0"/>
      </w:pPr>
    </w:p>
    <w:p>
      <w:r>
        <w:br w:type="page"/>
      </w:r>
    </w:p>
    <w:p>
      <w:pPr>
        <w:pStyle w:val="Heading1"/>
      </w:pPr>
      <w:r>
        <w:t>1. Executive overview</w:t>
      </w:r>
    </w:p>
    <w:p>
      <w:pPr>
        <w:pStyle w:val="BodyText"/>
      </w:pPr>
      <w:r>
        <w:t>The Compliance and Regulatory Reporting Module provides a single institutional view of recurring and ad hoc reporting obligations. It connects each obligation to an owner, reporting period, internal target date, source-data coverage, evidence checklist, validation results, approval status, external submission reference, and archive record.</w:t>
      </w:r>
    </w:p>
    <w:p>
      <w:pPr>
        <w:pStyle w:val="Heading2"/>
      </w:pPr>
      <w:r>
        <w:t>1.1 Business outcomes</w:t>
      </w:r>
    </w:p>
    <w:p>
      <w:pPr>
        <w:pStyle w:val="ListBullet"/>
      </w:pPr>
      <w:r>
        <w:t>Reduce missed or late internal preparation activities by maintaining an accountable obligation register.</w:t>
      </w:r>
    </w:p>
    <w:p>
      <w:pPr>
        <w:pStyle w:val="ListBullet"/>
      </w:pPr>
      <w:r>
        <w:t>Improve data quality by running documented validation checks before reviewer and approver sign-off.</w:t>
      </w:r>
    </w:p>
    <w:p>
      <w:pPr>
        <w:pStyle w:val="ListBullet"/>
      </w:pPr>
      <w:r>
        <w:t>Separate preparation, validation, approval, submission, and acknowledgement into traceable control points.</w:t>
      </w:r>
    </w:p>
    <w:p>
      <w:pPr>
        <w:pStyle w:val="ListBullet"/>
      </w:pPr>
      <w:r>
        <w:t>Retain the exact approved package and supporting evidence used for a reporting cycle.</w:t>
      </w:r>
    </w:p>
    <w:p>
      <w:pPr>
        <w:pStyle w:val="ListBullet"/>
      </w:pPr>
      <w:r>
        <w:t>Provide management with readiness, exception, aging, and submission-status dashboards without claiming automatic legal compliance.</w:t>
      </w:r>
    </w:p>
    <w:p>
      <w:pPr>
        <w:pStyle w:val="Heading2"/>
      </w:pPr>
      <w:r>
        <w:t>1.2 Scope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511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Included</w:t>
            </w:r>
          </w:p>
        </w:tc>
        <w:tc>
          <w:tcPr>
            <w:tcW w:type="dxa" w:w="504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Excluded unless separately approved</w:t>
            </w:r>
          </w:p>
        </w:tc>
      </w:tr>
      <w:tr>
        <w:trPr>
          <w:cantSplit/>
        </w:trPr>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CHED HEMIS data-readiness tracking for institutional, program, enrollment, graduate, and faculty information</w:t>
            </w:r>
          </w:p>
        </w:tc>
        <w:tc>
          <w:tcPr>
            <w:tcW w:type="dxa" w:w="50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Automatic submission to an external agency portal</w:t>
            </w:r>
          </w:p>
        </w:tc>
      </w:tr>
      <w:tr>
        <w:trPr>
          <w:cantSplit/>
        </w:trPr>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UniFAST FHE and TES evidence, validation, billing-support, and acknowledgement tracking</w:t>
            </w:r>
          </w:p>
        </w:tc>
        <w:tc>
          <w:tcPr>
            <w:tcW w:type="dxa" w:w="50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Legal interpretation of agency rules or automatic certification of compliance</w:t>
            </w:r>
          </w:p>
        </w:tc>
      </w:tr>
      <w:tr>
        <w:trPr>
          <w:cantSplit/>
        </w:trPr>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NPC-related DPO, registration, processing-system, incident, and breach-control evidence tracking</w:t>
            </w:r>
          </w:p>
        </w:tc>
        <w:tc>
          <w:tcPr>
            <w:tcW w:type="dxa" w:w="50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Replacing the institution's incident-response, records-management, or privacy-management systems</w:t>
            </w:r>
          </w:p>
        </w:tc>
      </w:tr>
      <w:tr>
        <w:trPr>
          <w:cantSplit/>
        </w:trPr>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Configurable obligations, owners, dates, checklists, review, approval, audit trail, export, and archive</w:t>
            </w:r>
          </w:p>
        </w:tc>
        <w:tc>
          <w:tcPr>
            <w:tcW w:type="dxa" w:w="50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Changing authoritative student, faculty, finance, HR, or scholarship source records inside this module</w:t>
            </w:r>
          </w:p>
        </w:tc>
      </w:tr>
    </w:tbl>
    <w:p>
      <w:pPr>
        <w:spacing w:after="0"/>
      </w:pPr>
    </w:p>
    <w:p>
      <w:pPr>
        <w:pStyle w:val="Heading2"/>
      </w:pPr>
      <w:r>
        <w:t>1.3 Guiding control principles</w:t>
      </w:r>
    </w:p>
    <w:p>
      <w:pPr>
        <w:pStyle w:val="BodyText"/>
        <w:ind w:left="317" w:hanging="317"/>
      </w:pPr>
      <w:r>
        <w:t>1.  Source systems remain authoritative; the module reads or receives controlled extracts and does not silently correct master data.</w:t>
      </w:r>
    </w:p>
    <w:p>
      <w:pPr>
        <w:pStyle w:val="BodyText"/>
        <w:ind w:left="317" w:hanging="317"/>
      </w:pPr>
      <w:r>
        <w:t>2.  Every reporting cycle is period-specific and version-controlled.</w:t>
      </w:r>
    </w:p>
    <w:p>
      <w:pPr>
        <w:pStyle w:val="BodyText"/>
        <w:ind w:left="317" w:hanging="317"/>
      </w:pPr>
      <w:r>
        <w:t>3.  A report cannot proceed to approval while blocking validations remain unresolved or formally waived.</w:t>
      </w:r>
    </w:p>
    <w:p>
      <w:pPr>
        <w:pStyle w:val="BodyText"/>
        <w:ind w:left="317" w:hanging="317"/>
      </w:pPr>
      <w:r>
        <w:t>4.  The preparer cannot be the final approver where segregation of duties is configured.</w:t>
      </w:r>
    </w:p>
    <w:p>
      <w:pPr>
        <w:pStyle w:val="BodyText"/>
        <w:ind w:left="317" w:hanging="317"/>
      </w:pPr>
      <w:r>
        <w:t>5.  Every material action is time-stamped and attributable to an authenticated user.</w:t>
      </w:r>
    </w:p>
    <w:p>
      <w:pPr>
        <w:pStyle w:val="BodyText"/>
        <w:ind w:left="317" w:hanging="317"/>
      </w:pPr>
      <w:r>
        <w:t>6.  External submission is complete only when the reference or acknowledgement is recorded and the final package is locked.</w:t>
      </w:r>
    </w:p>
    <w:p>
      <w:pPr>
        <w:pStyle w:val="Heading2"/>
      </w:pPr>
      <w:r>
        <w:t>1.4 Regulatory reference categories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7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Category</w:t>
            </w:r>
          </w:p>
        </w:tc>
        <w:tc>
          <w:tcPr>
            <w:tcW w:type="dxa" w:w="3671"/>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Representative coverage</w:t>
            </w:r>
          </w:p>
        </w:tc>
        <w:tc>
          <w:tcPr>
            <w:tcW w:type="dxa" w:w="460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Design implication</w:t>
            </w:r>
          </w:p>
        </w:tc>
      </w:tr>
      <w:tr>
        <w:trPr>
          <w:cantSplit/>
        </w:trPr>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CHED HEMIS</w:t>
            </w:r>
          </w:p>
        </w:tc>
        <w:tc>
          <w:tcPr>
            <w:tcW w:type="dxa" w:w="367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Institution profile, programs, enrollment, graduates, and faculty</w:t>
            </w:r>
          </w:p>
        </w:tc>
        <w:tc>
          <w:tcPr>
            <w:tcW w:type="dxa" w:w="460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Maintain period snapshots, code mappings, record counts, reconciliation checks, and approved export packages.</w:t>
            </w:r>
          </w:p>
        </w:tc>
      </w:tr>
      <w:tr>
        <w:trPr>
          <w:cantSplit/>
        </w:trPr>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UniFAST</w:t>
            </w:r>
          </w:p>
        </w:tc>
        <w:tc>
          <w:tcPr>
            <w:tcW w:type="dxa" w:w="367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Free Higher Education and Tertiary Education Subsidy documentary validation and billing support</w:t>
            </w:r>
          </w:p>
        </w:tc>
        <w:tc>
          <w:tcPr>
            <w:tcW w:type="dxa" w:w="460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Track beneficiary eligibility evidence, enrollment-period validity, duplicate checks, approval sequence, and financial reconciliation.</w:t>
            </w:r>
          </w:p>
        </w:tc>
      </w:tr>
      <w:tr>
        <w:trPr>
          <w:cantSplit/>
        </w:trPr>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National Privacy Commission</w:t>
            </w:r>
          </w:p>
        </w:tc>
        <w:tc>
          <w:tcPr>
            <w:tcW w:type="dxa" w:w="367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DPO and data processing system registration, privacy governance, incident and breach evidence</w:t>
            </w:r>
          </w:p>
        </w:tc>
        <w:tc>
          <w:tcPr>
            <w:tcW w:type="dxa" w:w="460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Use restricted access, sensitive-evidence controls, expiry reminders, incident escalation, immutable audit history, and least-privilege exports.</w:t>
            </w:r>
          </w:p>
        </w:tc>
      </w:tr>
    </w:tbl>
    <w:p>
      <w:pPr>
        <w:spacing w:after="0"/>
      </w:pPr>
    </w:p>
    <w:p>
      <w:r>
        <w:br w:type="page"/>
      </w:r>
    </w:p>
    <w:p>
      <w:pPr>
        <w:pStyle w:val="Heading1"/>
      </w:pPr>
      <w:r>
        <w:t>2. Roles, authority, and accountability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655"/>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Role</w:t>
            </w:r>
          </w:p>
        </w:tc>
        <w:tc>
          <w:tcPr>
            <w:tcW w:type="dxa" w:w="324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Primary responsibilities</w:t>
            </w:r>
          </w:p>
        </w:tc>
        <w:tc>
          <w:tcPr>
            <w:tcW w:type="dxa" w:w="302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Permitted actions</w:t>
            </w:r>
          </w:p>
        </w:tc>
        <w:tc>
          <w:tcPr>
            <w:tcW w:type="dxa" w:w="244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Prohibited or controlled actions</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Compliance Administrator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Maintain obligation templates, owners, checklists, internal targets, and escalation rules.</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Create and configure obligations; reopen with reason; view dashboards.</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Cannot approve own prepared package when segregation of duties applies.</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Data Owner or Encoder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Collect source extracts and evidence; resolve data-quality issues.</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Prepare cycle, upload evidence, run validations, submit for review.</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Cannot overwrite locked evidence or bypass blocking checks.</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Reviewer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Assess completeness, reconciliation, exceptions, and evidence fitness.</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Return with findings; clear review; recommend approval.</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Cannot alter source records or approve unresolved blocking exceptions.</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Approver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Accept institutional accountability for the final reporting package.</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Approve, reject, or revoke before submission with reason.</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Cannot approve a package changed after review without revalidation.</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Authorized Submitter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Submit the approved package using the official channel.</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Record submission timestamp, reference, acknowledgement, and receipt.</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Cannot submit an unapproved or superseded version.</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Data Protection Officer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 privacy, registration, incident, and sensitive-data controls.</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 restricted requirements and evidence; approve privacy controls.</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Cannot expose personal data through broad exports.</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Read-only Auditor</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Inspect history, evidence index, decisions, and controls.</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View permitted records and export audit reports.</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Cannot edit, approve, submit, or delete.</w:t>
            </w:r>
          </w:p>
        </w:tc>
      </w:tr>
      <w:tr>
        <w:trPr>
          <w:cantSplit/>
        </w:trPr>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System Service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Schedule reminders, calculate readiness, run automated checks, and write audit events.</w:t>
            </w:r>
          </w:p>
        </w:tc>
        <w:tc>
          <w:tcPr>
            <w:tcW w:type="dxa" w:w="30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Perform configured jobs and integrations under service identity.</w:t>
            </w:r>
          </w:p>
        </w:tc>
        <w:tc>
          <w:tcPr>
            <w:tcW w:type="dxa" w:w="24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Cannot infer legal status or waive business validations.</w:t>
            </w:r>
          </w:p>
        </w:tc>
      </w:tr>
    </w:tbl>
    <w:p>
      <w:pPr>
        <w:spacing w:after="0"/>
      </w:pPr>
    </w:p>
    <w:p>
      <w:pPr>
        <w:pStyle w:val="Heading2"/>
      </w:pPr>
      <w:r>
        <w:t>2.1 Responsibility matrix</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88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Process activity</w:t>
            </w:r>
          </w:p>
        </w:tc>
        <w:tc>
          <w:tcPr>
            <w:tcW w:type="dxa" w:w="144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Owner</w:t>
            </w:r>
          </w:p>
        </w:tc>
        <w:tc>
          <w:tcPr>
            <w:tcW w:type="dxa" w:w="151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Reviewer</w:t>
            </w:r>
          </w:p>
        </w:tc>
        <w:tc>
          <w:tcPr>
            <w:tcW w:type="dxa" w:w="151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Approver</w:t>
            </w:r>
          </w:p>
        </w:tc>
        <w:tc>
          <w:tcPr>
            <w:tcW w:type="dxa" w:w="151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Submitter</w:t>
            </w:r>
          </w:p>
        </w:tc>
        <w:tc>
          <w:tcPr>
            <w:tcW w:type="dxa" w:w="1655"/>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DPO / IT</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Configure obligation</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A</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I</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Collect data and evidence</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R</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I</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I</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Run and resolve validations</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A</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I</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I</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Approve report package</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R</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I</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Submit and record acknowledgement</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I</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A</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I</w:t>
            </w:r>
          </w:p>
        </w:tc>
      </w:tr>
      <w:tr>
        <w:trPr>
          <w:cantSplit/>
        </w:trPr>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Archive and retention review</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R</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I</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w:t>
            </w:r>
          </w:p>
        </w:tc>
      </w:tr>
    </w:tbl>
    <w:p>
      <w:pPr>
        <w:spacing w:after="0"/>
      </w:pPr>
    </w:p>
    <w:p>
      <w:pPr>
        <w:pStyle w:val="BodyText"/>
      </w:pPr>
      <w:r>
        <w:t>R = Responsible, A = Accountable, C = Consulted, I = Informed.</w:t>
      </w:r>
    </w:p>
    <w:p>
      <w:r>
        <w:br w:type="page"/>
      </w:r>
    </w:p>
    <w:p>
      <w:pPr>
        <w:pStyle w:val="Heading1"/>
      </w:pPr>
      <w:r>
        <w:t>3. End-to-end business process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64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Step</w:t>
            </w:r>
          </w:p>
        </w:tc>
        <w:tc>
          <w:tcPr>
            <w:tcW w:type="dxa" w:w="122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Stage</w:t>
            </w:r>
          </w:p>
        </w:tc>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Primary lane</w:t>
            </w:r>
          </w:p>
        </w:tc>
        <w:tc>
          <w:tcPr>
            <w:tcW w:type="dxa" w:w="446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Required activity</w:t>
            </w:r>
          </w:p>
        </w:tc>
        <w:tc>
          <w:tcPr>
            <w:tcW w:type="dxa" w:w="187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Exit artifact</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1</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Identify</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Compliance Administrator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Create or activate the obligation for the reporting cycle.</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 notice or recurring schedule</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2</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Configure</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Compliance Administrator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Confirm scope, owner, period, internal target, checklist, validation rules, sensitivity, and approvers.</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Complete controlled cycle</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3</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Collect</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Data Owner or Encoder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Acquire period-bound source snapshots and supporting evidence.</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Evidence inventory</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4</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Validate</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System and Data Owner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Run automated and manual checks; classify blocking errors and warnings.</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Validation run with findings</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5</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Resolve</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Data Owner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Correct the source, refresh the extract, or request a documented exception.</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Cleared or accepted findings</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6</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Reconcile totals, evidence, period, template, and open exceptions.</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 decision</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7</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 the exact package version or return it with reasons.</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Locked approved package</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8</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Submit</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Authorized Submitter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Use the official agency channel and record reference details.</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Submission record</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9</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Acknowledge</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Authorized Submitter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Attach receipt, acknowledgement, acceptance, or return notice.</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Final external status</w:t>
            </w:r>
          </w:p>
        </w:tc>
      </w:tr>
      <w:tr>
        <w:trPr>
          <w:cantSplit/>
        </w:trPr>
        <w:tc>
          <w:tcPr>
            <w:tcW w:type="dxa" w:w="64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10</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Archive and monitor</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Compliance Administrator</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Lock artifacts, apply retention, schedule follow-up, and report metrics.</w:t>
            </w:r>
          </w:p>
        </w:tc>
        <w:tc>
          <w:tcPr>
            <w:tcW w:type="dxa" w:w="187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Auditable closed cycle</w:t>
            </w:r>
          </w:p>
        </w:tc>
      </w:tr>
    </w:tbl>
    <w:p>
      <w:pPr>
        <w:spacing w:after="0"/>
      </w:pPr>
    </w:p>
    <w:p>
      <w:pPr>
        <w:pStyle w:val="Heading2"/>
      </w:pPr>
      <w:r>
        <w:t>3.1 Status lifecycle</w:t>
      </w:r>
    </w:p>
    <w:p>
      <w:pPr>
        <w:pStyle w:val="BodyText"/>
      </w:pPr>
      <w:r>
        <w:t>Draft → Collecting evidence → Validation failed or Ready for review → Under review → Returned or Ready for approval → Approved → Submitted → Acknowledged or Agency returned → Closed → Archived.</w:t>
      </w:r>
    </w:p>
    <w:p>
      <w:pPr>
        <w:pStyle w:val="BodyText"/>
      </w:pPr>
      <w:r>
        <w:t>Any data, evidence, template, or mapping change after successful review invalidates the validation signature and returns the cycle to Collecting evidence. Reopening a closed cycle requires a reason, authorized role, and audit event.</w:t>
      </w:r>
    </w:p>
    <w:p>
      <w:r>
        <w:br w:type="page"/>
      </w:r>
    </w:p>
    <w:p>
      <w:pPr>
        <w:pStyle w:val="Heading1"/>
      </w:pPr>
      <w:r>
        <w:t>4. User interface and navigation</w:t>
      </w:r>
    </w:p>
    <w:p>
      <w:pPr>
        <w:pStyle w:val="BodyText"/>
      </w:pPr>
      <w:r>
        <w:t>Navigation path: Registrar Portal &gt; Reports &gt; Compliance &gt; Compliance and Regulatory. The landing view prioritizes current readiness, exceptions, responsible owners, internal target dates, and drill-down validation checks.</w:t>
      </w:r>
    </w:p>
    <w:p>
      <w:r>
        <w:drawing>
          <wp:inline xmlns:a="http://schemas.openxmlformats.org/drawingml/2006/main" xmlns:pic="http://schemas.openxmlformats.org/drawingml/2006/picture">
            <wp:extent cx="6446520" cy="4700588"/>
            <wp:docPr id="1" name="Picture 1" descr="Screenshot of the PLP Compliance and Regulatory Reporting dashboard" title="PLP Compliance and Regulatory Reporting dashboard"/>
            <wp:cNvGraphicFramePr>
              <a:graphicFrameLocks noChangeAspect="1"/>
            </wp:cNvGraphicFramePr>
            <a:graphic>
              <a:graphicData uri="http://schemas.openxmlformats.org/drawingml/2006/picture">
                <pic:pic>
                  <pic:nvPicPr>
                    <pic:cNvPr id="0" name="PLP-Compliance-Regulatory-Reporting-Module.png"/>
                    <pic:cNvPicPr/>
                  </pic:nvPicPr>
                  <pic:blipFill>
                    <a:blip r:embed="rId11"/>
                    <a:stretch>
                      <a:fillRect/>
                    </a:stretch>
                  </pic:blipFill>
                  <pic:spPr>
                    <a:xfrm>
                      <a:off x="0" y="0"/>
                      <a:ext cx="6446520" cy="4700588"/>
                    </a:xfrm>
                    <a:prstGeom prst="rect"/>
                  </pic:spPr>
                </pic:pic>
              </a:graphicData>
            </a:graphic>
          </wp:inline>
        </w:drawing>
      </w:r>
    </w:p>
    <w:p>
      <w:pPr>
        <w:spacing w:after="140"/>
        <w:jc w:val="center"/>
      </w:pPr>
      <w:r>
        <w:rPr>
          <w:rFonts w:ascii="Aptos" w:hAnsi="Aptos"/>
          <w:b w:val="0"/>
          <w:color w:val="5E6D65"/>
          <w:sz w:val="16"/>
        </w:rPr>
        <w:t>Figure 1. Compliance and Regulatory Reporting dashboard</w:t>
      </w:r>
    </w:p>
    <w:p>
      <w:pPr>
        <w:pStyle w:val="Heading2"/>
      </w:pPr>
      <w:r>
        <w:t>4.1 Screen behavior</w:t>
      </w:r>
    </w:p>
    <w:p>
      <w:pPr>
        <w:pStyle w:val="ListBullet"/>
      </w:pPr>
      <w:r>
        <w:t>Summary cards show overall evidence completeness and counts by Ready, For review, Due soon, and Action required.</w:t>
      </w:r>
    </w:p>
    <w:p>
      <w:pPr>
        <w:pStyle w:val="ListBullet"/>
      </w:pPr>
      <w:r>
        <w:t>School year and term selectors establish the reporting context; invalid periods fall back to configured values.</w:t>
      </w:r>
    </w:p>
    <w:p>
      <w:pPr>
        <w:pStyle w:val="ListBullet"/>
      </w:pPr>
      <w:r>
        <w:t>Search, agency, and status filters operate together and update the visible record count.</w:t>
      </w:r>
    </w:p>
    <w:p>
      <w:pPr>
        <w:pStyle w:val="ListBullet"/>
      </w:pPr>
      <w:r>
        <w:t>Review checks expands the evidence and validation controls without navigating away from the register.</w:t>
      </w:r>
    </w:p>
    <w:p>
      <w:pPr>
        <w:pStyle w:val="ListBullet"/>
      </w:pPr>
      <w:r>
        <w:t>Export readiness CSV exports only the currently visible obligations; Print summary uses a print-optimized layout.</w:t>
      </w:r>
    </w:p>
    <w:p>
      <w:pPr>
        <w:pStyle w:val="ListBullet"/>
      </w:pPr>
      <w:r>
        <w:t>Official reference links open agency guidance in a separate browser context. Users must confirm current requirements before submission.</w:t>
      </w:r>
    </w:p>
    <w:p>
      <w:pPr>
        <w:pStyle w:val="Heading1"/>
      </w:pPr>
      <w:r>
        <w:t>5. Functional requirements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9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ID</w:t>
            </w:r>
          </w:p>
        </w:tc>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Capability</w:t>
            </w:r>
          </w:p>
        </w:tc>
        <w:tc>
          <w:tcPr>
            <w:tcW w:type="dxa" w:w="655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Requirement</w:t>
            </w:r>
          </w:p>
        </w:tc>
        <w:tc>
          <w:tcPr>
            <w:tcW w:type="dxa" w:w="72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Priority</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FR-001</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Obligation register</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system shall maintain a unique code, agency, title, description, reporting basis, frequency, accountable owner, reviewer, approver, and status for each obligation.</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FR-002</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Cycle generation</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create a period-specific cycle from an active obligation template without changing prior cycles.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FR-003</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Internal targets</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system shall store configurable internal preparation, review, approval, and submission target dates separately from any cited agency deadline.</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FR-004</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Agency reference</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store the source title, issuing agency, URL, effective date, and date last verified for each requirement basis.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FR-005</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Ownership</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system shall assign a primary owner and optional contributors, reviewers, approvers, submitters, and escalation recipients.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FR-006</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Evidence checklist</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define required, conditional, and optional evidence items with accepted formats, sensitivity, and retention class.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FR-007</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Evidence upload</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Authorized users shall upload evidence with file name, type, size, checksum, source, version, uploader, and timestamp.</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FR-008</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Source snapshot</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record source table or extract identifiers, period filters, record counts, generation timestamp, and checksum.</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FR-009</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Validation execution</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Users shall run configured automated and manual validation rules against the current package version.</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FR-010</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Findings</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Each failed validation shall create a finding with severity, affected record count, owner, status, due date, and resolution evidence.</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FR-011</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Exception waiver</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Only authorized reviewers or approvers shall accept a warning or exception with rationale, expiry, compensating control, and evidence.</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FR-012</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 workflow</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 preparer shall submit a validation-passed package for review; the reviewer shall approve the review or return it with findings.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FR-013</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Approval workflow</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approver shall approve the exact reviewed package version or reject it with a mandatory reason.</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FR-014</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Version lock</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Approval shall lock package contents, evidence links, checksums, mappings, and validation results.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FR-015</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Submission record</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submitter shall record channel, timestamp, submitted-by identity, external reference, package version, and remarks.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FR-016</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Acknowledgement</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store receipt, acknowledgement, accepted, returned, or rejected status with evidence and follow-up date.</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FR-017</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Dashboard</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system shall summarize readiness, overdue stages, unresolved blocking findings, upcoming internal targets, and returned submissions.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FR-018</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Search and filters</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Users shall filter by period, agency, owner, status, sensitivity, and target-date range, and search code or title.</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Should</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FR-019</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Exports</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Authorized users shall export a readiness register and approved reporting dataset with applied filters and generation metadata.</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FR-020</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Notifications</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notify owners and approvers at configurable intervals and escalate overdue stages.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Should</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FR-021</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Audit trail</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system shall record creation, edit, upload, delete, validation, exception, review, approval, submission, acknowledgement, access, and export events.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FR-022</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Retention</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The system shall apply retention classes and legal-hold flags to cycle evidence and prohibit premature deletion.</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FR-023</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Access control</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The system shall enforce role, agency, organizational scope, record sensitivity, and least-privilege export permissions.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FR-024</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Reopen control</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An authorized user shall reopen a closed cycle only with reason and resulting revalidation requirements.</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Must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FR-025</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Configuration history</w:t>
            </w:r>
          </w:p>
        </w:tc>
        <w:tc>
          <w:tcPr>
            <w:tcW w:type="dxa" w:w="655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Changes to templates, mappings, validation rules, and schedules shall be effective-dated and auditable.</w:t>
            </w:r>
          </w:p>
        </w:tc>
        <w:tc>
          <w:tcPr>
            <w:tcW w:type="dxa" w:w="7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Must</w:t>
            </w:r>
          </w:p>
        </w:tc>
      </w:tr>
    </w:tbl>
    <w:p>
      <w:pPr>
        <w:spacing w:after="0"/>
      </w:pPr>
    </w:p>
    <w:p>
      <w:r>
        <w:br w:type="page"/>
      </w:r>
    </w:p>
    <w:p>
      <w:pPr>
        <w:pStyle w:val="Heading1"/>
      </w:pPr>
      <w:r>
        <w:t>6. Data model and field requirements</w:t>
      </w:r>
    </w:p>
    <w:p>
      <w:pPr>
        <w:pStyle w:val="Heading2"/>
      </w:pPr>
      <w:r>
        <w:t>6.1 Core entities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Entity</w:t>
            </w:r>
          </w:p>
        </w:tc>
        <w:tc>
          <w:tcPr>
            <w:tcW w:type="dxa" w:w="3311"/>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Purpose</w:t>
            </w:r>
          </w:p>
        </w:tc>
        <w:tc>
          <w:tcPr>
            <w:tcW w:type="dxa" w:w="27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Key relationships</w:t>
            </w:r>
          </w:p>
        </w:tc>
        <w:tc>
          <w:tcPr>
            <w:tcW w:type="dxa" w:w="216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Minimum audit expectations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RegulatoryAgency</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Reference list for CHED, UniFAST, NPC, and other authorities.</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One agency to many obligations.</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Effective dates and active status.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ObligationTemplate</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Reusable definition of scope, cadence, roles, evidence, validations, and references.</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Belongs to agency; produces reporting cycles.</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Version, editor, timestamp, effective period.</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ReportingCycle</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Period-specific instance used for readiness, approval, submission, and closure.</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Belongs to template; has evidence, runs, decisions, and submissions.</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Creator, dates, status transitions, reopened reason.</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EvidenceItem</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Required or supplied document, extract, link, certification, or acknowledgement.</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Belongs to a cycle and checklist item.</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Uploader, checksum, version, sensitivity, retention.</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ValidationRule</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Configured completeness, format, uniqueness, referential, reconciliation, or timeliness control.</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Belongs to a template version.</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Rule version, severity, query or method, effective dates.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ValidationRun</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Execution record for a package version.</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Contains rule results and findings.</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Runner, time, input checksum, result counts.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Finding</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Blocking error, warning, observation, or accepted exception.</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Belongs to rule result; assigned to owner.</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Lifecycle, rationale, evidence, approver.</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Decision</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 approval, rejection, return, revocation, or waiver decision.</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Belongs to cycle and package version.</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Actor, role, timestamp, comment, signature hash.</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Submission</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External submission attempt and acknowledgement.</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Belongs to approved cycle version.</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Channel, submitter, timestamps, external reference, status.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AuditEvent</w:t>
            </w:r>
          </w:p>
        </w:tc>
        <w:tc>
          <w:tcPr>
            <w:tcW w:type="dxa" w:w="3311"/>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Immutable activity and access history.</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References entity, actor, session, and event type.</w:t>
            </w:r>
          </w:p>
        </w:tc>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Before/after summary, time, origin, correlation ID.</w:t>
            </w:r>
          </w:p>
        </w:tc>
      </w:tr>
    </w:tbl>
    <w:p>
      <w:pPr>
        <w:spacing w:after="0"/>
      </w:pPr>
    </w:p>
    <w:p>
      <w:pPr>
        <w:pStyle w:val="Heading2"/>
      </w:pPr>
      <w:r>
        <w:t>6.2 Reporting cycle field dictionary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Field</w:t>
            </w:r>
          </w:p>
        </w:tc>
        <w:tc>
          <w:tcPr>
            <w:tcW w:type="dxa" w:w="1655"/>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Type</w:t>
            </w:r>
          </w:p>
        </w:tc>
        <w:tc>
          <w:tcPr>
            <w:tcW w:type="dxa" w:w="122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Required</w:t>
            </w:r>
          </w:p>
        </w:tc>
        <w:tc>
          <w:tcPr>
            <w:tcW w:type="dxa" w:w="511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Definition and control</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cycle_id</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UUID or bigint</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Immutable cycle identifier.</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obligation_code</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String(50)</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Unique controlled code, for example CHED-HEMIS-BC.</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template_version</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String(20)</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Template version frozen when the cycle is generated.</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reporting_period</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Structured</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School year, term, calendar/fiscal period, or start and end dates.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agency_reference</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String or URL</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Official basis and latest-verification metadata.</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owner_user_id</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Foreign key</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Primary accountable preparer or data owner.</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reviewer_user_id</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Foreign key</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Assigned reviewer; may not equal preparer if segregation is required.</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approver_user_id</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Foreign key</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Authorized final approver.</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sensitivity</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Enum</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Public, Internal, Confidential, Restricted Personal Data.</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internal_target_at</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Datetime</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Institutional target; explicitly distinguished from agency deadline.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agency_deadline_at</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Datetime</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Conditional</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Stored only when verified with source and verification date.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status</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Enum</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Controlled lifecycle state.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readiness_percent</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Integer 0-100</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Derived</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Weighted evidence and validation readiness.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blocking_findings</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Integer</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Derived</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Count of unresolved blocking results.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current_package_version</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Integer</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Yes</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Increments when controlled package content changes.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package_checksum</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SHA-256</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At approval</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Integrity check for the exact approved package.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submitted_at</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Datetime</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At submission</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Actual external submission timestamp and time zone.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external_reference</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String(255)</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At submission</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Portal confirmation or transaction identifier.</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acknowledgement_status</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Enum</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After submission</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Pending, received, accepted, returned, rejected.</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retention_until</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Date</w:t>
            </w:r>
          </w:p>
        </w:tc>
        <w:tc>
          <w:tcPr>
            <w:tcW w:type="dxa" w:w="122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At closure</w:t>
            </w:r>
          </w:p>
        </w:tc>
        <w:tc>
          <w:tcPr>
            <w:tcW w:type="dxa" w:w="51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Derived from approved retention schedule and legal hold.</w:t>
            </w:r>
          </w:p>
        </w:tc>
      </w:tr>
    </w:tbl>
    <w:p>
      <w:pPr>
        <w:spacing w:after="0"/>
      </w:pPr>
    </w:p>
    <w:p>
      <w:pPr>
        <w:pStyle w:val="Heading2"/>
      </w:pPr>
      <w:r>
        <w:t>6.3 Source-data mappings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Reporting subject</w:t>
            </w:r>
          </w:p>
        </w:tc>
        <w:tc>
          <w:tcPr>
            <w:tcW w:type="dxa" w:w="446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Representative PLP source</w:t>
            </w:r>
          </w:p>
        </w:tc>
        <w:tc>
          <w:tcPr>
            <w:tcW w:type="dxa" w:w="352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Minimum reconciliation</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Institution and programs</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System configuration, courses or program files, recognized program codes</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Active program count, unique code, effective status, institution identifier.</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Enrollment</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Students, enrollment records, student-subject records, academic terms</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Detail count equals program and institution totals; unique student-period keys.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Graduates</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Graduate tagging, permanent student record, course, graduation and Special Order attributes</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Approved graduates match names, degree, dates, honors, and applicable authority data.</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Faculty</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Faculty master, departments, teaching assignments, faculty loads</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Active faculty counts and identifiers reconcile to reporting extracts and active offerings.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UniFAST beneficiaries</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Scholarship student records, enrollment, program, approval and financial posting fields</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Beneficiary uniqueness, period enrollment, status sequence, and billing totals reconcile.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Privacy and incidents</w:t>
            </w:r>
          </w:p>
        </w:tc>
        <w:tc>
          <w:tcPr>
            <w:tcW w:type="dxa" w:w="44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DPO records, processing-system inventory, incident register, audit events</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Current registration scope, expiry, incident disposition, notification and corrective-action evidence.</w:t>
            </w:r>
          </w:p>
        </w:tc>
      </w:tr>
    </w:tbl>
    <w:p>
      <w:pPr>
        <w:spacing w:after="0"/>
      </w:pPr>
    </w:p>
    <w:p>
      <w:pPr>
        <w:pStyle w:val="Heading1"/>
      </w:pPr>
      <w:r>
        <w:t>7. Validation framework</w:t>
      </w:r>
    </w:p>
    <w:p>
      <w:pPr>
        <w:pStyle w:val="BodyText"/>
      </w:pPr>
      <w:r>
        <w:t>Validation results are package-version specific. A successful validation is invalidated when a source snapshot, mapping, template, report file, evidence item, or accepted exception changes. Blocking rules prevent review or approval; warnings require explicit disposition before approval.</w:t>
      </w:r>
    </w:p>
    <w:p>
      <w:pPr>
        <w:pStyle w:val="Heading2"/>
      </w:pPr>
      <w:r>
        <w:t>7.1 Common validation catalogue</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86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ID</w:t>
            </w:r>
          </w:p>
        </w:tc>
        <w:tc>
          <w:tcPr>
            <w:tcW w:type="dxa" w:w="144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Domain</w:t>
            </w:r>
          </w:p>
        </w:tc>
        <w:tc>
          <w:tcPr>
            <w:tcW w:type="dxa" w:w="525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Validation rule</w:t>
            </w:r>
          </w:p>
        </w:tc>
        <w:tc>
          <w:tcPr>
            <w:tcW w:type="dxa" w:w="108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Severity</w:t>
            </w:r>
          </w:p>
        </w:tc>
        <w:tc>
          <w:tcPr>
            <w:tcW w:type="dxa" w:w="151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Failure condition</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VR-001</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Period</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Reporting period is configured and matches every source extract.</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Any period mismatch</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VR-002</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Completeness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All required checklist items are present and readable.</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Required evidence missing</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VR-003</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File integrity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Evidence type, size, checksum, and malware scan result are valid.</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Unsafe, corrupt, or disallowed file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VR-004</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Unique key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No duplicate institutional, program, faculty, student, beneficiary, or graduate key exists within the report scope.</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Duplicate key count &gt; 0</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VR-005</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Required fields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Required identifiers, names, classifications, dates, and statuses are populated.</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Null or blank mandatory value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VR-006</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Code mapping</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Local program, term, sex, status, and classification values map to controlled report codes.</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Unmapped value count &gt; 0</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VR-007</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Date logic</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Start, end, graduation, approval, submission, and expiry dates follow valid sequence and format.</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Invalid date or chronology</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VR-008</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Enrollment totals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Student detail totals equal program, level, sex, and institution subtotals.</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Any unexplained variance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VR-009</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Enrollment eligibility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Reported student is enrolled in the selected period and associated with an active program.</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Ineligible detail row</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VR-010</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Graduate status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Each graduate has approved tagging and matches the permanent academic record.</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Unapproved or unmatched graduate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VR-011</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Graduate authority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Applicable Special Order or authority attributes are complete and correctly formatted.</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Warn / 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Configured applicability failure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VR-012</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Faculty uniqueness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Faculty identifier is unique and required profile attributes are complete.</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Duplicate or incomplete profile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VR-013</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Faculty load</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Reported teaching assignments reconcile to active subject offerings and load records.</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Warn</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Unexplained assignment variance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VR-014</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UniFAST uniqueness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 beneficiary is not duplicated within the program and reporting period.</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Duplicate beneficiary</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VR-015</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UniFAST eligibility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Required documentary evidence, enrollment, program, and validation status are present.</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Eligibility prerequisite missing</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VR-016</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Workflow sequence</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Application, evaluation, approval, award, renewal, monitoring, and posting states follow allowed transitions.</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Invalid transition</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VR-017</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Financial reconciliation</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Billing or disbursement totals match approved beneficiary detail and supporting schedules.</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Variance not zero or approved</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VR-018</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NPC registration</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DPO data, processing-system inventory, certificate, issue date, and expiry or renewal target are current.</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Warn / 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Expired or incomplete registration</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VR-019</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Incident record</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Incident has occurrence and discovery dates, owner, assessment, affected data, status, and disposition.</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Incomplete incident assessment</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VR-020</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Breach escalation</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Potential breach is escalated to the DPO and required decision evidence is retained.</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No documented DPO disposition</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VR-021</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Privacy minimization</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Export contains only fields required by the selected template and authorized purpose.</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Unexpected personal-data field</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VR-022</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Segregation</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Preparer, reviewer, and approver satisfy configured separation rules.</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Conflicting user assignment</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VR-023</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Reference currency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 reference has a verified-on date and is not older than the configured review interval.</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Warn</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Reference review overdue</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VR-024</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Approval integrity</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Approved file checksum matches the version selected for submission.</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Checksum mismatch</w:t>
            </w:r>
          </w:p>
        </w:tc>
      </w:tr>
      <w:tr>
        <w:trPr>
          <w:cantSplit/>
        </w:trPr>
        <w:tc>
          <w:tcPr>
            <w:tcW w:type="dxa" w:w="86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VR-025</w:t>
            </w:r>
          </w:p>
        </w:tc>
        <w:tc>
          <w:tcPr>
            <w:tcW w:type="dxa" w:w="14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Acknowledgement</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Submitted cycle includes channel, submitter, time, reference, and acknowledgement evidence or pending follow-up.</w:t>
            </w:r>
          </w:p>
        </w:tc>
        <w:tc>
          <w:tcPr>
            <w:tcW w:type="dxa" w:w="10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Warn</w:t>
            </w:r>
          </w:p>
        </w:tc>
        <w:tc>
          <w:tcPr>
            <w:tcW w:type="dxa" w:w="151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Incomplete submission record</w:t>
            </w:r>
          </w:p>
        </w:tc>
      </w:tr>
    </w:tbl>
    <w:p>
      <w:pPr>
        <w:spacing w:after="0"/>
      </w:pPr>
    </w:p>
    <w:p>
      <w:pPr>
        <w:pStyle w:val="Heading2"/>
      </w:pPr>
      <w:r>
        <w:t>7.2 Readiness calculation</w:t>
      </w:r>
    </w:p>
    <w:p>
      <w:pPr>
        <w:pStyle w:val="BodyText"/>
      </w:pPr>
      <w:r>
        <w:t>Recommended default formula: 35% required-evidence completion + 40% automated validation pass rate + 15% manual checklist completion + 10% owner attestation. A cycle with any unresolved blocking finding cannot display Ready even if the arithmetic score is 100%. Weights are configurable and versioned.</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Displayed status</w:t>
            </w:r>
          </w:p>
        </w:tc>
        <w:tc>
          <w:tcPr>
            <w:tcW w:type="dxa" w:w="799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Minimum condition</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Action required</w:t>
            </w:r>
          </w:p>
        </w:tc>
        <w:tc>
          <w:tcPr>
            <w:tcW w:type="dxa" w:w="799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One or more blocking validations failed, mandatory evidence is missing, or an assigned stage is overdue.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Due soon</w:t>
            </w:r>
          </w:p>
        </w:tc>
        <w:tc>
          <w:tcPr>
            <w:tcW w:type="dxa" w:w="799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No current block, but a configured target falls inside the warning window or evidence completion is below threshold.</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For review</w:t>
            </w:r>
          </w:p>
        </w:tc>
        <w:tc>
          <w:tcPr>
            <w:tcW w:type="dxa" w:w="799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Required evidence is complete, blocking checks pass, and preparer submitted the current package version.</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Ready</w:t>
            </w:r>
          </w:p>
        </w:tc>
        <w:tc>
          <w:tcPr>
            <w:tcW w:type="dxa" w:w="799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Current package passed validations and required review or approval checkpoint for the configured dashboard definition.</w:t>
            </w:r>
          </w:p>
        </w:tc>
      </w:tr>
    </w:tbl>
    <w:p>
      <w:pPr>
        <w:spacing w:after="0"/>
      </w:pPr>
    </w:p>
    <w:p>
      <w:pPr>
        <w:pStyle w:val="Heading2"/>
      </w:pPr>
      <w:r>
        <w:t>7.3 Exception and waiver control</w:t>
      </w:r>
    </w:p>
    <w:p>
      <w:pPr>
        <w:pStyle w:val="BodyText"/>
        <w:ind w:left="317" w:hanging="317"/>
      </w:pPr>
      <w:r>
        <w:t>1.  The owner records the affected rule, records, reason, business impact, and corrective action.</w:t>
      </w:r>
    </w:p>
    <w:p>
      <w:pPr>
        <w:pStyle w:val="BodyText"/>
        <w:ind w:left="317" w:hanging="317"/>
      </w:pPr>
      <w:r>
        <w:t>2.  The reviewer determines whether the finding may be waived under the configured policy.</w:t>
      </w:r>
    </w:p>
    <w:p>
      <w:pPr>
        <w:pStyle w:val="BodyText"/>
        <w:ind w:left="317" w:hanging="317"/>
      </w:pPr>
      <w:r>
        <w:t>3.  An authorized approver records the decision, expiration date, compensating control, and evidence.</w:t>
      </w:r>
    </w:p>
    <w:p>
      <w:pPr>
        <w:pStyle w:val="BodyText"/>
        <w:ind w:left="317" w:hanging="317"/>
      </w:pPr>
      <w:r>
        <w:t>4.  The system preserves the original failure, the waiver, and all subsequent runs; it never changes a failed result to passed.</w:t>
      </w:r>
    </w:p>
    <w:p>
      <w:pPr>
        <w:pStyle w:val="BodyText"/>
        <w:ind w:left="317" w:hanging="317"/>
      </w:pPr>
      <w:r>
        <w:t>5.  Expired waivers automatically reopen the finding and may invalidate approval or closure according to policy.</w:t>
      </w:r>
    </w:p>
    <w:p>
      <w:pPr>
        <w:pStyle w:val="Heading1"/>
      </w:pPr>
      <w:r>
        <w:t>8. Security, privacy, and audit requirements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07"/>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ID</w:t>
            </w:r>
          </w:p>
        </w:tc>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Control area</w:t>
            </w:r>
          </w:p>
        </w:tc>
        <w:tc>
          <w:tcPr>
            <w:tcW w:type="dxa" w:w="6983"/>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Requirement</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SC-001</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Authentication</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Require authenticated access and enforce institutional account status and password controls.</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SC-002</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Authorization</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Apply route and action permissions for view, configure, prepare, review, approve, submit, export, reopen, and administer.</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SC-003</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Least privilege</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Restrict agency, organizational unit, reporting cycle, and sensitive evidence based on assigned scope.</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SC-004</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Segregation of duties</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Prevent prohibited preparer-reviewer-approver combinations and record approved exceptions.</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SC-005</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Sensitive evidence</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Classify files and restrict previews, downloads, links, search indexing, and exports for personal or incident data.</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SC-006</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Encryption</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Use encrypted transport and protected storage appropriate to the institution's security architecture.</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SC-007</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Upload defense</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Allowlist file types, enforce limits, normalize names, scan content, and store outside directly executable paths.</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SC-008</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Integrity</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Calculate checksums for evidence and approved packages; report any mismatch before submission.</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SC-009</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Audit logging</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Record actor, role, action, object, before/after summary, time, network or session context, and correlation ID.</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SC-010</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Audit protection</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Limit audit-log access, prohibit routine edits, monitor export, and retain logs under approved schedule.</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SC-011</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Data minimization</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Generate agency datasets from allowlisted template fields only and exclude unnecessary personal data.</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SC-012</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Retention and disposal</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Apply approved retention, legal hold, defensible deletion, and disposal evidence.</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SC-013</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Session and export</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Apply inactivity timeout, protect temporary files, and label exports with cycle, period, and generation metadata.</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SC-014</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Backup and recovery</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Back up configuration, cycle metadata, decisions, and evidence references; test restoration periodically.</w:t>
            </w:r>
          </w:p>
        </w:tc>
      </w:tr>
      <w:tr>
        <w:trPr>
          <w:cantSplit/>
        </w:trPr>
        <w:tc>
          <w:tcPr>
            <w:tcW w:type="dxa" w:w="1007"/>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SC-015</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Monitoring</w:t>
            </w:r>
          </w:p>
        </w:tc>
        <w:tc>
          <w:tcPr>
            <w:tcW w:type="dxa" w:w="6983"/>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Alert on repeated access denials, unusual bulk export, checksum mismatch, approval bypass, and scheduled-job failures.</w:t>
            </w:r>
          </w:p>
        </w:tc>
      </w:tr>
    </w:tbl>
    <w:p>
      <w:pPr>
        <w:spacing w:after="0"/>
      </w:pPr>
    </w:p>
    <w:p>
      <w:pPr>
        <w:pStyle w:val="Heading2"/>
      </w:pPr>
      <w:r>
        <w:t>8.1 Minimum audit event set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Event group</w:t>
            </w:r>
          </w:p>
        </w:tc>
        <w:tc>
          <w:tcPr>
            <w:tcW w:type="dxa" w:w="396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Examples</w:t>
            </w:r>
          </w:p>
        </w:tc>
        <w:tc>
          <w:tcPr>
            <w:tcW w:type="dxa" w:w="432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Required event attributes</w:t>
            </w:r>
          </w:p>
        </w:tc>
      </w:tr>
      <w:tr>
        <w:trPr>
          <w:cantSplit/>
        </w:trPr>
        <w:tc>
          <w:tcPr>
            <w:tcW w:type="dxa" w:w="180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Configuration</w:t>
            </w:r>
          </w:p>
        </w:tc>
        <w:tc>
          <w:tcPr>
            <w:tcW w:type="dxa" w:w="39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Template created, rule changed, owner reassigned, schedule changed</w:t>
            </w:r>
          </w:p>
        </w:tc>
        <w:tc>
          <w:tcPr>
            <w:tcW w:type="dxa" w:w="43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Actor, old/new values, version, effective date, reason</w:t>
            </w:r>
          </w:p>
        </w:tc>
      </w:tr>
      <w:tr>
        <w:trPr>
          <w:cantSplit/>
        </w:trPr>
        <w:tc>
          <w:tcPr>
            <w:tcW w:type="dxa" w:w="180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Evidence</w:t>
            </w:r>
          </w:p>
        </w:tc>
        <w:tc>
          <w:tcPr>
            <w:tcW w:type="dxa" w:w="39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Uploaded, replaced, viewed, downloaded, removed</w:t>
            </w:r>
          </w:p>
        </w:tc>
        <w:tc>
          <w:tcPr>
            <w:tcW w:type="dxa" w:w="43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Actor, file metadata, checksum, cycle, sensitivity, reason</w:t>
            </w:r>
          </w:p>
        </w:tc>
      </w:tr>
      <w:tr>
        <w:trPr>
          <w:cantSplit/>
        </w:trPr>
        <w:tc>
          <w:tcPr>
            <w:tcW w:type="dxa" w:w="180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Validation</w:t>
            </w:r>
          </w:p>
        </w:tc>
        <w:tc>
          <w:tcPr>
            <w:tcW w:type="dxa" w:w="39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Run started, passed, failed, cancelled, waiver requested</w:t>
            </w:r>
          </w:p>
        </w:tc>
        <w:tc>
          <w:tcPr>
            <w:tcW w:type="dxa" w:w="43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Rule version, package version, counts, duration, finding IDs</w:t>
            </w:r>
          </w:p>
        </w:tc>
      </w:tr>
      <w:tr>
        <w:trPr>
          <w:cantSplit/>
        </w:trPr>
        <w:tc>
          <w:tcPr>
            <w:tcW w:type="dxa" w:w="180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Decision</w:t>
            </w:r>
          </w:p>
        </w:tc>
        <w:tc>
          <w:tcPr>
            <w:tcW w:type="dxa" w:w="39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Submitted for review, returned, reviewed, approved, rejected, revoked</w:t>
            </w:r>
          </w:p>
        </w:tc>
        <w:tc>
          <w:tcPr>
            <w:tcW w:type="dxa" w:w="43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Actor role, package checksum, decision, reason, time</w:t>
            </w:r>
          </w:p>
        </w:tc>
      </w:tr>
      <w:tr>
        <w:trPr>
          <w:cantSplit/>
        </w:trPr>
        <w:tc>
          <w:tcPr>
            <w:tcW w:type="dxa" w:w="180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External submission</w:t>
            </w:r>
          </w:p>
        </w:tc>
        <w:tc>
          <w:tcPr>
            <w:tcW w:type="dxa" w:w="39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Submitted, acknowledged, returned, accepted, rejected</w:t>
            </w:r>
          </w:p>
        </w:tc>
        <w:tc>
          <w:tcPr>
            <w:tcW w:type="dxa" w:w="43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Channel, reference, submitter, timestamps, evidence</w:t>
            </w:r>
          </w:p>
        </w:tc>
      </w:tr>
      <w:tr>
        <w:trPr>
          <w:cantSplit/>
        </w:trPr>
        <w:tc>
          <w:tcPr>
            <w:tcW w:type="dxa" w:w="180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Access and export</w:t>
            </w:r>
          </w:p>
        </w:tc>
        <w:tc>
          <w:tcPr>
            <w:tcW w:type="dxa" w:w="39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Restricted view, CSV generated, audit report downloaded</w:t>
            </w:r>
          </w:p>
        </w:tc>
        <w:tc>
          <w:tcPr>
            <w:tcW w:type="dxa" w:w="43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Actor, purpose, scope, filters, record count, result</w:t>
            </w:r>
          </w:p>
        </w:tc>
      </w:tr>
    </w:tbl>
    <w:p>
      <w:pPr>
        <w:spacing w:after="0"/>
      </w:pPr>
    </w:p>
    <w:p>
      <w:pPr>
        <w:pStyle w:val="Heading1"/>
      </w:pPr>
      <w:r>
        <w:t>9. Notifications and operational rules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Trigger</w:t>
            </w:r>
          </w:p>
        </w:tc>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Default recipient</w:t>
            </w:r>
          </w:p>
        </w:tc>
        <w:tc>
          <w:tcPr>
            <w:tcW w:type="dxa" w:w="237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Recommended timing</w:t>
            </w:r>
          </w:p>
        </w:tc>
        <w:tc>
          <w:tcPr>
            <w:tcW w:type="dxa" w:w="352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Required content</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Cycle opened</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Owner and contributors</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Immediately</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 obligation, period, targets, checklist, and link.</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Evidence incomplete</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Owner</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Weekly, then configurable escalation</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Missing items, blocking checks, days remaining.</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Ready for review</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Reviewer</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Immediately</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Package version, readiness, warnings, due date.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Returned by reviewer</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Owner</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Immediately</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Findings, severity, requested action, target.</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Ready for approval</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Approver</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Immediately and reminder</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Review identity, package checksum, exceptions, target.</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Internal target approaching</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Owner and escalation recipient</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30, 14, 7, 3, and 1 day configurable</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Stage, outstanding blockers, accountable owner.</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Submission recorded</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Owner, approver, compliance</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Immediately</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Channel, time, reference, acknowledgement state.</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Agency return or rejection</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Owner, reviewer, approver</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Immediately and escalated</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Reason, attached notice, response target.</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Registration or evidence expiry</w:t>
            </w:r>
          </w:p>
        </w:tc>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Owner and DPO where applicable</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90, 60, and 30 days configurable</w:t>
            </w:r>
          </w:p>
        </w:tc>
        <w:tc>
          <w:tcPr>
            <w:tcW w:type="dxa" w:w="352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Expiry date, renewal checklist, latest reference verification.</w:t>
            </w:r>
          </w:p>
        </w:tc>
      </w:tr>
    </w:tbl>
    <w:p>
      <w:pPr>
        <w:spacing w:after="0"/>
      </w:pPr>
    </w:p>
    <w:p>
      <w:pPr>
        <w:pStyle w:val="Heading2"/>
      </w:pPr>
      <w:r>
        <w:t>9.1 Nonfunctional requirements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Area</w:t>
            </w:r>
          </w:p>
        </w:tc>
        <w:tc>
          <w:tcPr>
            <w:tcW w:type="dxa" w:w="81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5"/>
              </w:rPr>
              <w:t>Requirement and target</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Performance</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Dashboard initial response should complete within 3 seconds for the normal active-cycle dataset; filter interactions within 500 milliseconds on a supported workstation.</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Availability</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Module follows Registrar Portal availability and maintenance windows; scheduled jobs retry safely and alert on terminal failure.</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Accessibility</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Keyboard-operable controls, visible focus, semantic labels, status text in addition to color, readable contrast, and responsive layout.</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Compatibility</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Support current institution-approved versions of Chromium-based browsers and print/PDF output.</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Scalability</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Index period, agency, status, owner, target date, and cycle identifiers; paginate detailed records and stream large exports.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Maintainability</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5"/>
              </w:rPr>
              <w:t>Keep regulatory content configuration separate from application code and effective-date all rule changes.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Recovery</w:t>
            </w:r>
          </w:p>
        </w:tc>
        <w:tc>
          <w:tcPr>
            <w:tcW w:type="dxa" w:w="81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5"/>
              </w:rPr>
              <w:t>Define institutional recovery point and recovery time objectives; restore configuration and audit-linked evidence consistently.</w:t>
            </w:r>
          </w:p>
        </w:tc>
      </w:tr>
    </w:tbl>
    <w:p>
      <w:pPr>
        <w:spacing w:after="0"/>
      </w:pPr>
    </w:p>
    <w:p>
      <w:pPr>
        <w:pStyle w:val="Heading1"/>
      </w:pPr>
      <w:r>
        <w:t>10. Reports and exports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Output</w:t>
            </w:r>
          </w:p>
        </w:tc>
        <w:tc>
          <w:tcPr>
            <w:tcW w:type="dxa" w:w="194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Audience</w:t>
            </w:r>
          </w:p>
        </w:tc>
        <w:tc>
          <w:tcPr>
            <w:tcW w:type="dxa" w:w="45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Minimum content</w:t>
            </w:r>
          </w:p>
        </w:tc>
        <w:tc>
          <w:tcPr>
            <w:tcW w:type="dxa" w:w="1655"/>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Control</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Readiness register</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Owners and management</w:t>
            </w:r>
          </w:p>
        </w:tc>
        <w:tc>
          <w:tcPr>
            <w:tcW w:type="dxa" w:w="45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 code, title, period, owner, internal target, completeness, status, blockers.</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Filter-aware; generated timestamp and user.</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Exception report</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Reviewers and approvers</w:t>
            </w:r>
          </w:p>
        </w:tc>
        <w:tc>
          <w:tcPr>
            <w:tcW w:type="dxa" w:w="45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Finding, severity, affected records, age, owner, action, waiver and expiry.</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Restricted detail; no silent suppression.</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Submission register</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Compliance and auditors</w:t>
            </w:r>
          </w:p>
        </w:tc>
        <w:tc>
          <w:tcPr>
            <w:tcW w:type="dxa" w:w="45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Package version, checksum, channel, submitter, time, reference, acknowledgement, status.</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Read-only after closure; corrections by append-only event.</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Evidence index</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Reviewers and auditors</w:t>
            </w:r>
          </w:p>
        </w:tc>
        <w:tc>
          <w:tcPr>
            <w:tcW w:type="dxa" w:w="45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Checklist item, file metadata, checksum, uploader, date, sensitivity, retention.</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Content access controlled separately from index access.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Validation results</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Data owners and reviewers</w:t>
            </w:r>
          </w:p>
        </w:tc>
        <w:tc>
          <w:tcPr>
            <w:tcW w:type="dxa" w:w="45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Rule, version, severity, pass/fail, affected count, finding, disposition.</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Bound to package and source snapshot checksums.</w:t>
            </w:r>
          </w:p>
        </w:tc>
      </w:tr>
      <w:tr>
        <w:trPr>
          <w:cantSplit/>
        </w:trPr>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Management dashboard</w:t>
            </w:r>
          </w:p>
        </w:tc>
        <w:tc>
          <w:tcPr>
            <w:tcW w:type="dxa" w:w="194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Registrar and executives</w:t>
            </w:r>
          </w:p>
        </w:tc>
        <w:tc>
          <w:tcPr>
            <w:tcW w:type="dxa" w:w="45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On-time rate, readiness trend, overdue stages, returns, open blocks, workload by owner.</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Aggregated and period-filtered; no unnecessary personal data.</w:t>
            </w:r>
          </w:p>
        </w:tc>
      </w:tr>
    </w:tbl>
    <w:p>
      <w:pPr>
        <w:spacing w:after="0"/>
      </w:pPr>
    </w:p>
    <w:p>
      <w:pPr>
        <w:pStyle w:val="Heading2"/>
      </w:pPr>
      <w:r>
        <w:t>10.1 Export metadata</w:t>
      </w:r>
    </w:p>
    <w:p>
      <w:pPr>
        <w:pStyle w:val="ListBullet"/>
      </w:pPr>
      <w:r>
        <w:t>Document title, obligation code, agency, reporting period, internal target, and template version.</w:t>
      </w:r>
    </w:p>
    <w:p>
      <w:pPr>
        <w:pStyle w:val="ListBullet"/>
      </w:pPr>
      <w:r>
        <w:t>Package version, source snapshot identifiers, validation-run identifier, and file checksum where applicable.</w:t>
      </w:r>
    </w:p>
    <w:p>
      <w:pPr>
        <w:pStyle w:val="ListBullet"/>
      </w:pPr>
      <w:r>
        <w:t>Applied filters, record count, generated-by identity, generation timestamp, and time zone.</w:t>
      </w:r>
    </w:p>
    <w:p>
      <w:pPr>
        <w:pStyle w:val="ListBullet"/>
      </w:pPr>
      <w:r>
        <w:t>Classification and handling notice appropriate to the most sensitive included field.</w:t>
      </w:r>
    </w:p>
    <w:p>
      <w:pPr>
        <w:pStyle w:val="Heading1"/>
      </w:pPr>
      <w:r>
        <w:t>11. Exception handling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15"/>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Condition</w:t>
            </w:r>
          </w:p>
        </w:tc>
        <w:tc>
          <w:tcPr>
            <w:tcW w:type="dxa" w:w="324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System response</w:t>
            </w:r>
          </w:p>
        </w:tc>
        <w:tc>
          <w:tcPr>
            <w:tcW w:type="dxa" w:w="324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User recovery</w:t>
            </w:r>
          </w:p>
        </w:tc>
        <w:tc>
          <w:tcPr>
            <w:tcW w:type="dxa" w:w="1584"/>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Audit requirement</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Source unavailable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Mark extraction failed; preserve last successful snapshot but prohibit representing it as current.</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Retry; contact source owner; document approved contingency.</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Error, source, time, attempt, user, resolution.</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Validation service fails</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Set run to Failed technical; do not convert to business validation failure.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Retry safely using same package version.</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Technical trace and correlation ID.</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Evidence changed after review</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Invalidate review and approval readiness.</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Rerun validations and resubmit for review.</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Old/new checksum and actor.</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Approver unavailable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Escalate according to delegation matrix; do not auto-approve.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Assign authorized delegate with effective period.</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Delegation authority and decision.</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Agency portal unavailable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Record submission attempt and preserve approved package.</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Retry within authorized window and attach outage evidence.</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Attempt time, channel, outcome, evidence.</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Agency returns submission</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Change to Agency returned; open remediation findings.</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Correct source or package, revalidate, review, approve, and resubmit new version.</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Return notice and full version lineage.</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Duplicate submission suspected</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Warn or block based on reference, package, period, and channel.</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Reviewer confirms prior status before override.</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Override reason and approver.</w:t>
            </w:r>
          </w:p>
        </w:tc>
      </w:tr>
      <w:tr>
        <w:trPr>
          <w:cantSplit/>
        </w:trPr>
        <w:tc>
          <w:tcPr>
            <w:tcW w:type="dxa" w:w="201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Unauthorized access or export</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Deny, log, and alert according to severity.</w:t>
            </w:r>
          </w:p>
        </w:tc>
        <w:tc>
          <w:tcPr>
            <w:tcW w:type="dxa" w:w="324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Security or DPO triage.</w:t>
            </w:r>
          </w:p>
        </w:tc>
        <w:tc>
          <w:tcPr>
            <w:tcW w:type="dxa" w:w="1584"/>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Actor, scope, time, origin, policy result.</w:t>
            </w:r>
          </w:p>
        </w:tc>
      </w:tr>
    </w:tbl>
    <w:p>
      <w:pPr>
        <w:spacing w:after="0"/>
      </w:pPr>
    </w:p>
    <w:p>
      <w:pPr>
        <w:pStyle w:val="Heading1"/>
      </w:pPr>
      <w:r>
        <w:t>12. User acceptance testing</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9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3"/>
              </w:rPr>
              <w:t>ID</w:t>
            </w:r>
          </w:p>
        </w:tc>
        <w:tc>
          <w:tcPr>
            <w:tcW w:type="dxa" w:w="1655"/>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3"/>
              </w:rPr>
              <w:t>Scenario</w:t>
            </w:r>
          </w:p>
        </w:tc>
        <w:tc>
          <w:tcPr>
            <w:tcW w:type="dxa" w:w="237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3"/>
              </w:rPr>
              <w:t>Precondition</w:t>
            </w:r>
          </w:p>
        </w:tc>
        <w:tc>
          <w:tcPr>
            <w:tcW w:type="dxa" w:w="2232"/>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3"/>
              </w:rPr>
              <w:t>Action</w:t>
            </w:r>
          </w:p>
        </w:tc>
        <w:tc>
          <w:tcPr>
            <w:tcW w:type="dxa" w:w="288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3"/>
              </w:rPr>
              <w:t>Expected result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UAT-001</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Open module</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Authorized Registrar user</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Navigate through Reports &gt; Compliance.</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Dashboard loads and eight configured obligation examples display.</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UAT-002</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Access denied</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User lacks report permission</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Open route directly.</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Request is denied or redirected; event is logged.</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UAT-003</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Period selection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Configured school years and terms</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Change school year and apply term.</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Valid options display and coverage refreshes for the period.</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UAT-004</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Combined filters</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Register contains multiple agencies and states</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Enter search text and select agency and status.</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Only rows matching all criteria remain; visible count updates.</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UAT-005</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Validation detail</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Requirement has checklist and rules</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Select Review checks.</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Evidence, validations, and official reference expand accessibly.</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UAT-006</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CSV export</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 filtered result set</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Export readiness CSV.</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File contains headers and only visible obligations with correct period context.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UAT-007</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Print</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Dashboard loaded</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Print summary.</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Print layout omits interactive navigation and remains legible.</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UAT-008</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Missing evidence</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Required item absent</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Run validation.</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VR-002 fails, finding is blocking, cycle cannot enter review.</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UAT-009</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Duplicate record</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Duplicate reporting key</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Run validation.</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VR-004 fails with affected count and downloadable exception detail.</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UAT-010</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Reconciliation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Detail and summary differ</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Run HEMIS enrollment validation.</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VR-008 fails and reports the variance dimensions.</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UAT-011</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Exception waiver</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Waivable warning exists</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Request and approve waiver.</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Original warning remains; rationale, approver, expiry, and control are retained.</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UAT-012</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Segregation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Preparer is also assigned approver</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Attempt approval.</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System blocks action under configured policy and logs denial.</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UAT-013</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Version invalidation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Package passed review</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Replace evidence or regenerate source extract.</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Package version increments and prior validation or review is invalidated.</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UAT-014</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Approval integrity</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Approved package exists</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Alter or substitute file before submission.</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Checksum mismatch blocks submission.</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UAT-015</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Submission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Approved package and authorized submitter</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Record channel, reference, time, and receipt.</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Submission links to exact package version and acknowledgement remains trackable.</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UAT-016</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Agency return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Submitted cycle</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Record a return notice.</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Cycle enters Agency returned and creates remediation work without overwriting history.</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UAT-017</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Sensitive export</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Restricted personal data</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User without export permission attempts download.</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3"/>
              </w:rPr>
              <w:t>Download denied and event logged; index view reveals no sensitive content.</w:t>
            </w:r>
          </w:p>
        </w:tc>
      </w:tr>
      <w:tr>
        <w:trPr>
          <w:cantSplit/>
        </w:trPr>
        <w:tc>
          <w:tcPr>
            <w:tcW w:type="dxa" w:w="9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UAT-018</w:t>
            </w:r>
          </w:p>
        </w:tc>
        <w:tc>
          <w:tcPr>
            <w:tcW w:type="dxa" w:w="1655"/>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Closed-cycle reopen</w:t>
            </w:r>
          </w:p>
        </w:tc>
        <w:tc>
          <w:tcPr>
            <w:tcW w:type="dxa" w:w="237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Closed cycle and authorized administrator</w:t>
            </w:r>
          </w:p>
        </w:tc>
        <w:tc>
          <w:tcPr>
            <w:tcW w:type="dxa" w:w="2232"/>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Reopen with reason.</w:t>
            </w:r>
          </w:p>
        </w:tc>
        <w:tc>
          <w:tcPr>
            <w:tcW w:type="dxa" w:w="288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3"/>
              </w:rPr>
              <w:t>Cycle reopens, approvals follow policy, and the event is auditable.</w:t>
            </w:r>
          </w:p>
        </w:tc>
      </w:tr>
    </w:tbl>
    <w:p>
      <w:pPr>
        <w:spacing w:after="0"/>
      </w:pPr>
    </w:p>
    <w:p>
      <w:pPr>
        <w:pStyle w:val="Heading1"/>
      </w:pPr>
      <w:r>
        <w:t>13. Implementation notes</w:t>
      </w:r>
    </w:p>
    <w:p>
      <w:pPr>
        <w:pStyle w:val="Heading2"/>
      </w:pPr>
      <w:r>
        <w:t>13.1 Current implemented dashboard baseline</w:t>
      </w:r>
    </w:p>
    <w:p>
      <w:pPr>
        <w:pStyle w:val="ListBullet"/>
      </w:pPr>
      <w:r>
        <w:t>Registrar route: /registrar/services/reports-admin/compliance-regulatory.</w:t>
      </w:r>
    </w:p>
    <w:p>
      <w:pPr>
        <w:pStyle w:val="ListBullet"/>
      </w:pPr>
      <w:r>
        <w:t>Registrar sidebar integration under Reports &gt; Compliance.</w:t>
      </w:r>
    </w:p>
    <w:p>
      <w:pPr>
        <w:pStyle w:val="ListBullet"/>
      </w:pPr>
      <w:r>
        <w:t>Route authorization mapped to the existing academic-reports access permission for initial compatibility.</w:t>
      </w:r>
    </w:p>
    <w:p>
      <w:pPr>
        <w:pStyle w:val="ListBullet"/>
      </w:pPr>
      <w:r>
        <w:t>Data-readiness cards, agency and status filters, keyword search, period selectors, validation drill-down, print, and CSV export.</w:t>
      </w:r>
    </w:p>
    <w:p>
      <w:pPr>
        <w:pStyle w:val="ListBullet"/>
      </w:pPr>
      <w:r>
        <w:t>Representative coverage counts read safely from available students, courses, faculties, graduate tagging, scholarship student, and audit event tables.</w:t>
      </w:r>
    </w:p>
    <w:p>
      <w:pPr>
        <w:pStyle w:val="ListBullet"/>
      </w:pPr>
      <w:r>
        <w:t>Official reference links for CHED, UniFAST, and NPC guidance.</w:t>
      </w:r>
    </w:p>
    <w:p>
      <w:pPr>
        <w:pStyle w:val="BodyText"/>
      </w:pPr>
      <w:r>
        <w:t>Production hardening should introduce persistent obligation, cycle, evidence, validation, decision, submission, notification, and audit entities; separate granular permissions; file security; scheduled jobs; controlled configuration; integration tests; and institution-approved retention rules.</w:t>
      </w:r>
    </w:p>
    <w:p>
      <w:pPr>
        <w:pStyle w:val="Heading2"/>
      </w:pPr>
      <w:r>
        <w:t>13.2 Recommended delivery increments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Increment</w:t>
            </w:r>
          </w:p>
        </w:tc>
        <w:tc>
          <w:tcPr>
            <w:tcW w:type="dxa" w:w="525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Scope</w:t>
            </w:r>
          </w:p>
        </w:tc>
        <w:tc>
          <w:tcPr>
            <w:tcW w:type="dxa" w:w="2736"/>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4"/>
              </w:rPr>
              <w:t>Exit criteria</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1. Register and dashboard</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Persistent templates and cycles, filters, owners, internal targets, statuses, exports.</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Approved configuration and correct period-specific dashboard.</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2. Evidence and validation</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Secure evidence, source snapshots, automated/manual rules, findings, exceptions.</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Blocking controls demonstrated against sample CHED, UniFAST, and NPC cycles.</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3. Review and approval</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Segregated workflow, version lock, checksums, comments, notifications.</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Reviewed and approved package cannot change without invalidation.</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4. Submission and archive</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Submission references, acknowledgement, return workflow, retention, audit reports.</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4"/>
              </w:rPr>
              <w:t>End-to-end cycle closes with reproducible approved package and evidence history.</w:t>
            </w:r>
          </w:p>
        </w:tc>
      </w:tr>
      <w:tr>
        <w:trPr>
          <w:cantSplit/>
        </w:trPr>
        <w:tc>
          <w:tcPr>
            <w:tcW w:type="dxa" w:w="2088"/>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5. Integration and analytics</w:t>
            </w:r>
          </w:p>
        </w:tc>
        <w:tc>
          <w:tcPr>
            <w:tcW w:type="dxa" w:w="525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Approved source integrations, trend dashboard, workload, escalation, performance tuning.</w:t>
            </w:r>
          </w:p>
        </w:tc>
        <w:tc>
          <w:tcPr>
            <w:tcW w:type="dxa" w:w="2736"/>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4"/>
              </w:rPr>
              <w:t>Monitored jobs, reconciled extracts, privacy-reviewed management reporting.</w:t>
            </w:r>
          </w:p>
        </w:tc>
      </w:tr>
    </w:tbl>
    <w:p>
      <w:pPr>
        <w:spacing w:after="0"/>
      </w:pPr>
    </w:p>
    <w:p>
      <w:pPr>
        <w:pStyle w:val="Heading1"/>
      </w:pPr>
      <w:r>
        <w:t>14. Definition of done</w:t>
      </w:r>
    </w:p>
    <w:p>
      <w:pPr>
        <w:pStyle w:val="ListBullet"/>
      </w:pPr>
      <w:r>
        <w:t>Business owner, reviewer, approver, DPO, and IT have approved this specification or its controlled successor.</w:t>
      </w:r>
    </w:p>
    <w:p>
      <w:pPr>
        <w:pStyle w:val="ListBullet"/>
      </w:pPr>
      <w:r>
        <w:t>All Must requirements have traceable implementation and test evidence; deferred items have approved disposition.</w:t>
      </w:r>
    </w:p>
    <w:p>
      <w:pPr>
        <w:pStyle w:val="ListBullet"/>
      </w:pPr>
      <w:r>
        <w:t>Role and data-scope permissions have positive and negative tests.</w:t>
      </w:r>
    </w:p>
    <w:p>
      <w:pPr>
        <w:pStyle w:val="ListBullet"/>
      </w:pPr>
      <w:r>
        <w:t>Configured validation rules reproduce expected pass, fail, warning, exception, and invalidation outcomes.</w:t>
      </w:r>
    </w:p>
    <w:p>
      <w:pPr>
        <w:pStyle w:val="ListBullet"/>
      </w:pPr>
      <w:r>
        <w:t>Approved packages are integrity-protected and submission acknowledgements link to exact versions.</w:t>
      </w:r>
    </w:p>
    <w:p>
      <w:pPr>
        <w:pStyle w:val="ListBullet"/>
      </w:pPr>
      <w:r>
        <w:t>Audit, privacy, retention, backup, recovery, accessibility, performance, and security reviews are completed.</w:t>
      </w:r>
    </w:p>
    <w:p>
      <w:pPr>
        <w:pStyle w:val="ListBullet"/>
      </w:pPr>
      <w:r>
        <w:t>Operational owners receive training, procedures, escalation paths, and an initial verified obligation calendar.</w:t>
      </w:r>
    </w:p>
    <w:p>
      <w:pPr>
        <w:pStyle w:val="Heading1"/>
      </w:pPr>
      <w:r>
        <w:t>Appendix A. Official reference sources</w:t>
      </w:r>
    </w:p>
    <w:p>
      <w:pPr>
        <w:pStyle w:val="BodyText"/>
      </w:pPr>
      <w:r>
        <w:t>The sources below informed the representative reporting categories and control design. The institution must verify the latest applicable issuance and local implementation instructions before each reporting cycle.</w:t>
      </w:r>
    </w:p>
    <w:p>
      <w:pPr>
        <w:pStyle w:val="BodyText"/>
      </w:pPr>
      <w:r>
        <w:rPr>
          <w:b/>
        </w:rPr>
        <w:t xml:space="preserve">1. Office of Planning, Research and Knowledge Management. </w:t>
      </w:r>
      <w:r>
        <w:t xml:space="preserve">Commission on Higher Education. Describes coordination of the Higher Education Management Information System. </w:t>
      </w:r>
      <w:hyperlink r:id="rId12">
        <w:r>
          <w:rPr>
            <w:color w:val="0F6B46"/>
            <w:u w:val="single"/>
          </w:rPr>
          <w:t>View official source</w:t>
        </w:r>
      </w:hyperlink>
    </w:p>
    <w:p>
      <w:pPr>
        <w:pStyle w:val="BodyText"/>
      </w:pPr>
      <w:r>
        <w:rPr>
          <w:b/>
        </w:rPr>
        <w:t xml:space="preserve">2. 2024 HEMIS Orientation. </w:t>
      </w:r>
      <w:r>
        <w:t xml:space="preserve">CHED Regional Office I. Describes HEMIS coverage including enrollment, graduates, program offerings, and institutional profiles. </w:t>
      </w:r>
      <w:hyperlink r:id="rId13">
        <w:r>
          <w:rPr>
            <w:color w:val="0F6B46"/>
            <w:u w:val="single"/>
          </w:rPr>
          <w:t>View official source</w:t>
        </w:r>
      </w:hyperlink>
    </w:p>
    <w:p>
      <w:pPr>
        <w:pStyle w:val="BodyText"/>
      </w:pPr>
      <w:r>
        <w:rPr>
          <w:b/>
        </w:rPr>
        <w:t xml:space="preserve">3. Annual Data Collection of HEMIS for SY 2024-2025. </w:t>
      </w:r>
      <w:r>
        <w:t xml:space="preserve">CHED Regional Office XI. Lists representative HEMIS Form A, Form BC, Form E5, and Graduate List submissions. </w:t>
      </w:r>
      <w:hyperlink r:id="rId14">
        <w:r>
          <w:rPr>
            <w:color w:val="0F6B46"/>
            <w:u w:val="single"/>
          </w:rPr>
          <w:t>View official source</w:t>
        </w:r>
      </w:hyperlink>
    </w:p>
    <w:p>
      <w:pPr>
        <w:pStyle w:val="BodyText"/>
      </w:pPr>
      <w:r>
        <w:rPr>
          <w:b/>
        </w:rPr>
        <w:t xml:space="preserve">4. Implementing Rules and Regulations for Free Higher Education. </w:t>
      </w:r>
      <w:r>
        <w:t xml:space="preserve">UniFAST. Provides the official Free Higher Education program framework. </w:t>
      </w:r>
      <w:hyperlink r:id="rId15">
        <w:r>
          <w:rPr>
            <w:color w:val="0F6B46"/>
            <w:u w:val="single"/>
          </w:rPr>
          <w:t>View official source</w:t>
        </w:r>
      </w:hyperlink>
    </w:p>
    <w:p>
      <w:pPr>
        <w:pStyle w:val="BodyText"/>
      </w:pPr>
      <w:r>
        <w:rPr>
          <w:b/>
        </w:rPr>
        <w:t xml:space="preserve">5. Enhanced Tertiary Education Subsidy. </w:t>
      </w:r>
      <w:r>
        <w:t xml:space="preserve">UniFAST. Identifies documentary requirements for validation and billing in the referenced guidance. </w:t>
      </w:r>
      <w:hyperlink r:id="rId16">
        <w:r>
          <w:rPr>
            <w:color w:val="0F6B46"/>
            <w:u w:val="single"/>
          </w:rPr>
          <w:t>View official source</w:t>
        </w:r>
      </w:hyperlink>
    </w:p>
    <w:p>
      <w:pPr>
        <w:pStyle w:val="BodyText"/>
      </w:pPr>
      <w:r>
        <w:rPr>
          <w:b/>
        </w:rPr>
        <w:t xml:space="preserve">6. Registration of Personal Information Controllers and Processors. </w:t>
      </w:r>
      <w:r>
        <w:t xml:space="preserve">National Privacy Commission. Official registration entry point and related guidance. </w:t>
      </w:r>
      <w:hyperlink r:id="rId17">
        <w:r>
          <w:rPr>
            <w:color w:val="0F6B46"/>
            <w:u w:val="single"/>
          </w:rPr>
          <w:t>View official source</w:t>
        </w:r>
      </w:hyperlink>
    </w:p>
    <w:p>
      <w:pPr>
        <w:pStyle w:val="BodyText"/>
      </w:pPr>
      <w:r>
        <w:rPr>
          <w:b/>
        </w:rPr>
        <w:t xml:space="preserve">7. Appointing a Data Protection Officer. </w:t>
      </w:r>
      <w:r>
        <w:t xml:space="preserve">National Privacy Commission. Describes representative DPO compliance monitoring, records, assessment, and breach-related responsibilities. </w:t>
      </w:r>
      <w:hyperlink r:id="rId18">
        <w:r>
          <w:rPr>
            <w:color w:val="0F6B46"/>
            <w:u w:val="single"/>
          </w:rPr>
          <w:t>View official source</w:t>
        </w:r>
      </w:hyperlink>
    </w:p>
    <w:p>
      <w:pPr>
        <w:pStyle w:val="BodyText"/>
      </w:pPr>
      <w:r>
        <w:rPr>
          <w:b/>
        </w:rPr>
        <w:t xml:space="preserve">8. Frequently Asked Questions for PIPs and PICs. </w:t>
      </w:r>
      <w:r>
        <w:t xml:space="preserve">National Privacy Commission. Provides current operational registration guidance; verify the current version at use time. </w:t>
      </w:r>
      <w:hyperlink r:id="rId19">
        <w:r>
          <w:rPr>
            <w:color w:val="0F6B46"/>
            <w:u w:val="single"/>
          </w:rPr>
          <w:t>View official source</w:t>
        </w:r>
      </w:hyperlink>
    </w:p>
    <w:p>
      <w:pPr>
        <w:pStyle w:val="Heading1"/>
      </w:pPr>
      <w:r>
        <w:t>Appendix B. Terminology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16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Term</w:t>
            </w:r>
          </w:p>
        </w:tc>
        <w:tc>
          <w:tcPr>
            <w:tcW w:type="dxa" w:w="7920"/>
            <w:shd w:fill="173B5B"/>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center"/>
          </w:tcPr>
          <w:p>
            <w:pPr>
              <w:keepNext/>
              <w:spacing w:after="0"/>
            </w:pPr>
            <w:r>
              <w:rPr>
                <w:rFonts w:ascii="Aptos" w:hAnsi="Aptos"/>
                <w:b/>
                <w:color w:val="FFFFFF"/>
                <w:sz w:val="16"/>
              </w:rPr>
              <w:t>Meaning in this document</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Agency deadline</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Externally prescribed date that has been verified against a cited official issuance.</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Internal target date</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Institutional planning date used to finish preparation, review, approval, or submission work.</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Evidence</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Document, extract, receipt, approval, assessment, or other artifact supporting a checklist item or decision.</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Package version</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Frozen collection of dataset, form, evidence references, mappings, and validation results.</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Readiness</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Measured completeness of configured evidence and validation controls; not a legal opinion.</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Blocking finding</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Failed control that prevents advancement unless corrected or handled through an authorized exception policy.</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Acknowledgement</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vAlign w:val="top"/>
          </w:tcPr>
          <w:p>
            <w:pPr>
              <w:spacing w:after="0" w:line="245" w:lineRule="auto"/>
            </w:pPr>
            <w:r>
              <w:rPr>
                <w:rFonts w:ascii="Aptos" w:hAnsi="Aptos"/>
                <w:b w:val="0"/>
                <w:color w:val="1F2D27"/>
                <w:sz w:val="16"/>
              </w:rPr>
              <w:t>External receipt, confirmation, acceptance, return, or rejection linked to a recorded submission.</w:t>
            </w:r>
          </w:p>
        </w:tc>
      </w:tr>
      <w:tr>
        <w:trPr>
          <w:cantSplit/>
        </w:trPr>
        <w:tc>
          <w:tcPr>
            <w:tcW w:type="dxa" w:w="216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System of record</w:t>
            </w:r>
          </w:p>
        </w:tc>
        <w:tc>
          <w:tcPr>
            <w:tcW w:type="dxa" w:w="7920"/>
            <w:tcBorders>
              <w:top w:val="single" w:sz="4" w:color="D8E2DD"/>
              <w:left w:val="single" w:sz="4" w:color="D8E2DD"/>
              <w:bottom w:val="single" w:sz="4" w:color="D8E2DD"/>
              <w:right w:val="single" w:sz="4" w:color="D8E2DD"/>
              <w:insideH w:val="single" w:sz="4" w:color="D8E2DD"/>
              <w:insideV w:val="single" w:sz="4" w:color="D8E2DD"/>
            </w:tcBorders>
            <w:tcMar>
              <w:top w:w="80" w:type="dxa"/>
              <w:start w:w="90" w:type="dxa"/>
              <w:bottom w:w="80" w:type="dxa"/>
              <w:end w:w="90" w:type="dxa"/>
            </w:tcMar>
            <w:shd w:fill="F5F7F6"/>
            <w:vAlign w:val="top"/>
          </w:tcPr>
          <w:p>
            <w:pPr>
              <w:spacing w:after="0" w:line="245" w:lineRule="auto"/>
            </w:pPr>
            <w:r>
              <w:rPr>
                <w:rFonts w:ascii="Aptos" w:hAnsi="Aptos"/>
                <w:b w:val="0"/>
                <w:color w:val="1F2D27"/>
                <w:sz w:val="16"/>
              </w:rPr>
              <w:t>Authoritative application or record repository from which reporting data is extracted.</w:t>
            </w:r>
          </w:p>
        </w:tc>
      </w:tr>
    </w:tbl>
    <w:p>
      <w:pPr>
        <w:spacing w:after="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E6D65"/>
        <w:sz w:val="15"/>
      </w:rPr>
      <w:t>PLP  |  Compliance and Regulatory Reporting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D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7" w:lineRule="auto"/>
    </w:pPr>
    <w:rPr>
      <w:rFonts w:ascii="Aptos" w:hAnsi="Aptos"/>
      <w:color w:val="1F2D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7" w:lineRule="auto"/>
      <w:contextualSpacing/>
    </w:pPr>
    <w:rPr>
      <w:rFonts w:ascii="Aptos" w:hAnsi="Aptos"/>
      <w:color w:val="1F2D27"/>
      <w:sz w:val="18"/>
    </w:rPr>
  </w:style>
  <w:style w:type="paragraph" w:styleId="ListBullet2">
    <w:name w:val="List Bullet 2"/>
    <w:basedOn w:val="Normal"/>
    <w:uiPriority w:val="99"/>
    <w:unhideWhenUsed/>
    <w:rsid w:val="00326F90"/>
    <w:pPr>
      <w:numPr>
        <w:numId w:val="2"/>
      </w:numPr>
      <w:spacing w:after="60" w:line="257" w:lineRule="auto"/>
      <w:contextualSpacing/>
    </w:pPr>
    <w:rPr>
      <w:rFonts w:ascii="Aptos" w:hAnsi="Aptos"/>
      <w:color w:val="1F2D2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7" w:lineRule="auto"/>
      <w:contextualSpacing/>
    </w:pPr>
    <w:rPr>
      <w:rFonts w:ascii="Aptos" w:hAnsi="Aptos"/>
      <w:color w:val="1F2D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ed.gov.ph/official-organization-structure/office-planning-research-knowledge-management-oprkm/" TargetMode="External"/><Relationship Id="rId13" Type="http://schemas.openxmlformats.org/officeDocument/2006/relationships/hyperlink" Target="https://region1.ched.gov.ph/chedro-spearheads-2024-hemis-orientation/" TargetMode="External"/><Relationship Id="rId14" Type="http://schemas.openxmlformats.org/officeDocument/2006/relationships/hyperlink" Target="https://ro11.ched.gov.ph/2024/10/25/online-orientation-for-the-annual-data-collection-of-hemis-for-sy-2024-2025/9581/uncategorized/" TargetMode="External"/><Relationship Id="rId15" Type="http://schemas.openxmlformats.org/officeDocument/2006/relationships/hyperlink" Target="https://unifast.gov.ph/assets/pdf/guidelines/FHE.pdf" TargetMode="External"/><Relationship Id="rId16" Type="http://schemas.openxmlformats.org/officeDocument/2006/relationships/hyperlink" Target="https://unifast.gov.ph/assets/pdf/infgrfx/Enhanced-tes-2024.pdf" TargetMode="External"/><Relationship Id="rId17" Type="http://schemas.openxmlformats.org/officeDocument/2006/relationships/hyperlink" Target="https://privacy.gov.ph/pips-and-pics/register/" TargetMode="External"/><Relationship Id="rId18" Type="http://schemas.openxmlformats.org/officeDocument/2006/relationships/hyperlink" Target="https://privacy.gov.ph/appointing-a-data-protection-officer/" TargetMode="External"/><Relationship Id="rId19" Type="http://schemas.openxmlformats.org/officeDocument/2006/relationships/hyperlink" Target="https://privacy.gov.ph/pips-and-pics/faq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and Regulatory Reporting Module Documentation</dc:title>
  <dc:subject>Business, functional, validation, security, and acceptance specification</dc:subject>
  <dc:creator>Pamantasan ng Lungsod ng Pasig Project Team</dc:creator>
  <cp:keywords>compliance, regulatory reporting, CHED, HEMIS, UniFAST, NPC, PLP</cp:keywords>
  <dc:description>Prepared as an editable implementation and control specification.</dc:description>
  <cp:lastModifiedBy/>
  <cp:revision>1</cp:revision>
  <dcterms:created xsi:type="dcterms:W3CDTF">2013-12-23T23:15:00Z</dcterms:created>
  <dcterms:modified xsi:type="dcterms:W3CDTF">2013-12-23T23:15:00Z</dcterms:modified>
  <cp:category/>
</cp:coreProperties>
</file>