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PLP System Reports Generation and Dashboard Documentation</w:t>
      </w:r>
    </w:p>
    <w:p>
      <w:pPr>
        <w:spacing w:after="320"/>
      </w:pPr>
      <w:r>
        <w:rPr>
          <w:rFonts w:ascii="Aptos" w:hAnsi="Aptos"/>
          <w:b/>
          <w:color w:val="0F6B46"/>
          <w:sz w:val="26"/>
        </w:rPr>
        <w:t>Target-state business, solution, data, validation, security, and operating design</w:t>
      </w:r>
    </w:p>
    <w:p>
      <w:pPr>
        <w:pStyle w:val="BodyText"/>
      </w:pPr>
      <w:r>
        <w:t>This document defines a governed Reports Generation and Dashboard module for the target PLP System. It is intentionally technology-aware but policy-neutral: PLP data owners and compliance officers must approve definitions, schedules, retention and external submission obligations before implementation.</w:t>
      </w:r>
    </w:p>
    <w:p>
      <w:pPr>
        <w:pStyle w:val="Heading1"/>
      </w:pPr>
      <w:r>
        <w:t>Document Control</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227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6"/>
              </w:rPr>
              <w:t>Field</w:t>
            </w:r>
          </w:p>
        </w:tc>
        <w:tc>
          <w:tcPr>
            <w:tcW w:type="dxa" w:w="803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6"/>
              </w:rPr>
              <w:t>Value</w:t>
            </w:r>
          </w:p>
        </w:tc>
      </w:tr>
      <w:tr>
        <w:trPr>
          <w:cantSplit/>
        </w:trPr>
        <w:tc>
          <w:tcPr>
            <w:tcW w:type="dxa" w:w="227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Document owner</w:t>
            </w:r>
          </w:p>
        </w:tc>
        <w:tc>
          <w:tcPr>
            <w:tcW w:type="dxa" w:w="803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PLP Registrar and PLP Information Technology Office</w:t>
            </w:r>
          </w:p>
        </w:tc>
      </w:tr>
      <w:tr>
        <w:trPr>
          <w:cantSplit/>
        </w:trPr>
        <w:tc>
          <w:tcPr>
            <w:tcW w:type="dxa" w:w="227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Primary readers</w:t>
            </w:r>
          </w:p>
        </w:tc>
        <w:tc>
          <w:tcPr>
            <w:tcW w:type="dxa" w:w="803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Registrar leadership, report owners, data stewards, developers, QA, security reviewers, auditors, and implementation partners</w:t>
            </w:r>
          </w:p>
        </w:tc>
      </w:tr>
      <w:tr>
        <w:trPr>
          <w:cantSplit/>
        </w:trPr>
        <w:tc>
          <w:tcPr>
            <w:tcW w:type="dxa" w:w="227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Status</w:t>
            </w:r>
          </w:p>
        </w:tc>
        <w:tc>
          <w:tcPr>
            <w:tcW w:type="dxa" w:w="803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Proposed production design; not a statement of currently implemented functionality</w:t>
            </w:r>
          </w:p>
        </w:tc>
      </w:tr>
      <w:tr>
        <w:trPr>
          <w:cantSplit/>
        </w:trPr>
        <w:tc>
          <w:tcPr>
            <w:tcW w:type="dxa" w:w="227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Version</w:t>
            </w:r>
          </w:p>
        </w:tc>
        <w:tc>
          <w:tcPr>
            <w:tcW w:type="dxa" w:w="803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1.0</w:t>
            </w:r>
          </w:p>
        </w:tc>
      </w:tr>
      <w:tr>
        <w:trPr>
          <w:cantSplit/>
        </w:trPr>
        <w:tc>
          <w:tcPr>
            <w:tcW w:type="dxa" w:w="227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Prepared date</w:t>
            </w:r>
          </w:p>
        </w:tc>
        <w:tc>
          <w:tcPr>
            <w:tcW w:type="dxa" w:w="803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September 13, 2026</w:t>
            </w:r>
          </w:p>
        </w:tc>
      </w:tr>
      <w:tr>
        <w:trPr>
          <w:cantSplit/>
        </w:trPr>
        <w:tc>
          <w:tcPr>
            <w:tcW w:type="dxa" w:w="227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Classification</w:t>
            </w:r>
          </w:p>
        </w:tc>
        <w:tc>
          <w:tcPr>
            <w:tcW w:type="dxa" w:w="803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6"/>
              </w:rPr>
              <w:t>Internal working documentation; protect student and personnel information</w:t>
            </w:r>
          </w:p>
        </w:tc>
      </w:tr>
    </w:tbl>
    <w:p>
      <w:pPr>
        <w:spacing w:after="0"/>
      </w:pPr>
    </w:p>
    <w:tbl>
      <w:tblPr>
        <w:tblW w:type="auto" w:w="0"/>
        <w:jc w:val="center"/>
        <w:tblLook w:firstColumn="1" w:firstRow="1" w:lastColumn="0" w:lastRow="0" w:noHBand="0" w:noVBand="1" w:val="04A0"/>
      </w:tblPr>
      <w:tblGrid>
        <w:gridCol w:w="10310"/>
      </w:tblGrid>
      <w:tr>
        <w:trPr>
          <w:tblHeader w:val="true"/>
          <w:cantSplit/>
        </w:trPr>
        <w:tc>
          <w:tcPr>
            <w:tcW w:type="dxa" w:w="10310"/>
            <w:shd w:fill="EAF0F6"/>
            <w:tcBorders>
              <w:top w:val="single" w:sz="4" w:color="0F6B46"/>
              <w:left w:val="single" w:sz="4" w:color="0F6B46"/>
              <w:bottom w:val="single" w:sz="4" w:color="0F6B46"/>
              <w:right w:val="single" w:sz="4" w:color="0F6B46"/>
              <w:insideH w:val="single" w:sz="4" w:color="0F6B46"/>
              <w:insideV w:val="single" w:sz="4" w:color="0F6B46"/>
            </w:tcBorders>
            <w:tcMar>
              <w:top w:w="105" w:type="dxa"/>
              <w:start w:w="120" w:type="dxa"/>
              <w:bottom w:w="105" w:type="dxa"/>
              <w:end w:w="120" w:type="dxa"/>
            </w:tcMar>
          </w:tcPr>
          <w:p>
            <w:pPr>
              <w:spacing w:after="0"/>
            </w:pPr>
            <w:r>
              <w:rPr>
                <w:rFonts w:ascii="Aptos" w:hAnsi="Aptos"/>
                <w:b/>
                <w:color w:val="0F6B46"/>
                <w:sz w:val="16"/>
              </w:rPr>
              <w:t xml:space="preserve">Design status  </w:t>
            </w:r>
            <w:r>
              <w:rPr>
                <w:rFonts w:ascii="Aptos" w:hAnsi="Aptos"/>
                <w:b w:val="0"/>
                <w:color w:val="1F2D27"/>
                <w:sz w:val="16"/>
              </w:rPr>
              <w:t>All target components, workflows, database entities, service levels, and controls in this document are proposed requirements. They must be converted into approved backlog items, architecture decisions, data contracts, and test evidence before go-live.</w:t>
            </w:r>
          </w:p>
        </w:tc>
      </w:tr>
    </w:tbl>
    <w:p>
      <w:pPr>
        <w:spacing w:after="0"/>
      </w:pPr>
    </w:p>
    <w:p>
      <w:pPr>
        <w:pStyle w:val="Heading1"/>
      </w:pPr>
      <w:r>
        <w:t>Executive Summary</w:t>
      </w:r>
    </w:p>
    <w:p>
      <w:pPr>
        <w:pStyle w:val="BodyText"/>
      </w:pPr>
      <w:r>
        <w:t>The target module separates transactional processing from governed analytics and official report generation. A report catalogue stores versioned definitions. A generation service validates a request, freezes the data cutoff and rule/template versions, executes a consistent snapshot, records validation results, routes approvals, renders secure artifacts, and retains evidence. Dashboards consume certified metrics with freshness and quality indicators rather than calculating every widget independently from live tables.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94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Design outcome</w:t>
            </w:r>
          </w:p>
        </w:tc>
        <w:tc>
          <w:tcPr>
            <w:tcW w:type="dxa" w:w="4521"/>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Target capability</w:t>
            </w:r>
          </w:p>
        </w:tc>
        <w:tc>
          <w:tcPr>
            <w:tcW w:type="dxa" w:w="384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Business value</w:t>
            </w:r>
          </w:p>
        </w:tc>
      </w:tr>
      <w:tr>
        <w:trPr>
          <w:cantSplit/>
        </w:trPr>
        <w:tc>
          <w:tcPr>
            <w:tcW w:type="dxa" w:w="19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Trustworthy figures</w:t>
            </w:r>
          </w:p>
        </w:tc>
        <w:tc>
          <w:tcPr>
            <w:tcW w:type="dxa" w:w="452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Certified metric definitions, data contracts, reconciliation and no fabricated fallbacks</w:t>
            </w:r>
          </w:p>
        </w:tc>
        <w:tc>
          <w:tcPr>
            <w:tcW w:type="dxa" w:w="38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Users can explain what each number means and when it was measured</w:t>
            </w:r>
          </w:p>
        </w:tc>
      </w:tr>
      <w:tr>
        <w:trPr>
          <w:cantSplit/>
        </w:trPr>
        <w:tc>
          <w:tcPr>
            <w:tcW w:type="dxa" w:w="19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Controlled outputs</w:t>
            </w:r>
          </w:p>
        </w:tc>
        <w:tc>
          <w:tcPr>
            <w:tcW w:type="dxa" w:w="452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 request, validation, approval, generation, delivery and retention lifecycle</w:t>
            </w:r>
          </w:p>
        </w:tc>
        <w:tc>
          <w:tcPr>
            <w:tcW w:type="dxa" w:w="38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Official documents are reproducible, authorized and auditable</w:t>
            </w:r>
          </w:p>
        </w:tc>
      </w:tr>
      <w:tr>
        <w:trPr>
          <w:cantSplit/>
        </w:trPr>
        <w:tc>
          <w:tcPr>
            <w:tcW w:type="dxa" w:w="19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Scalable operation</w:t>
            </w:r>
          </w:p>
        </w:tc>
        <w:tc>
          <w:tcPr>
            <w:tcW w:type="dxa" w:w="452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Read models, snapshots, cache, asynchronous generation and object storage</w:t>
            </w:r>
          </w:p>
        </w:tc>
        <w:tc>
          <w:tcPr>
            <w:tcW w:type="dxa" w:w="38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Large reports do not overload transactional services</w:t>
            </w:r>
          </w:p>
        </w:tc>
      </w:tr>
      <w:tr>
        <w:trPr>
          <w:cantSplit/>
        </w:trPr>
        <w:tc>
          <w:tcPr>
            <w:tcW w:type="dxa" w:w="19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Privacy by design</w:t>
            </w:r>
          </w:p>
        </w:tc>
        <w:tc>
          <w:tcPr>
            <w:tcW w:type="dxa" w:w="452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Purpose-based access, row/column controls, masking, secure downloads and complete audit</w:t>
            </w:r>
          </w:p>
        </w:tc>
        <w:tc>
          <w:tcPr>
            <w:tcW w:type="dxa" w:w="38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Sensitive education records are exposed only when necessary</w:t>
            </w:r>
          </w:p>
        </w:tc>
      </w:tr>
      <w:tr>
        <w:trPr>
          <w:cantSplit/>
        </w:trPr>
        <w:tc>
          <w:tcPr>
            <w:tcW w:type="dxa" w:w="19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Regulatory readiness</w:t>
            </w:r>
          </w:p>
        </w:tc>
        <w:tc>
          <w:tcPr>
            <w:tcW w:type="dxa" w:w="452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Obligation register, evidence, submission packages, acknowledgements and change history</w:t>
            </w:r>
          </w:p>
        </w:tc>
        <w:tc>
          <w:tcPr>
            <w:tcW w:type="dxa" w:w="38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Deadlines and filing evidence are owned and traceable</w:t>
            </w:r>
          </w:p>
        </w:tc>
      </w:tr>
    </w:tbl>
    <w:p>
      <w:pPr>
        <w:spacing w:after="0"/>
      </w:pPr>
    </w:p>
    <w:p>
      <w:pPr>
        <w:pStyle w:val="Heading1"/>
      </w:pPr>
      <w:r>
        <w:t>Goals and Non-Goals</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515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5"/>
              </w:rPr>
              <w:t>Goals</w:t>
            </w:r>
          </w:p>
        </w:tc>
        <w:tc>
          <w:tcPr>
            <w:tcW w:type="dxa" w:w="515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5"/>
              </w:rPr>
              <w:t>Non-goals</w:t>
            </w:r>
          </w:p>
        </w:tc>
      </w:tr>
      <w:tr>
        <w:trPr>
          <w:cantSplit/>
        </w:trPr>
        <w:tc>
          <w:tcPr>
            <w:tcW w:type="dxa" w:w="51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One governed catalogue for reports and metrics; accurate period/scope handling; reusable validation; role and row-level security; approvals; server-side exports; lineage; accessibility; measurable freshness and service levels.</w:t>
            </w:r>
          </w:p>
        </w:tc>
        <w:tc>
          <w:tcPr>
            <w:tcW w:type="dxa" w:w="51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5"/>
              </w:rPr>
              <w:t>Inventing regulator deadlines; replacing institutional policy; allowing analysts to bypass source-system ownership; exposing unrestricted ad hoc SQL; treating the dashboard as the system of record.</w:t>
            </w:r>
          </w:p>
        </w:tc>
      </w:tr>
    </w:tbl>
    <w:p>
      <w:pPr>
        <w:spacing w:after="0"/>
      </w:pPr>
    </w:p>
    <w:p>
      <w:pPr>
        <w:pStyle w:val="Heading1"/>
      </w:pPr>
      <w:r>
        <w:t>Guiding Principles</w:t>
      </w:r>
    </w:p>
    <w:p>
      <w:pPr>
        <w:pStyle w:val="BodyText"/>
        <w:ind w:left="374" w:hanging="374"/>
      </w:pPr>
      <w:r>
        <w:rPr>
          <w:b/>
        </w:rPr>
        <w:t xml:space="preserve">1.  </w:t>
      </w:r>
      <w:r>
        <w:t>Every metric and report has a business owner, purpose, population, grain, formula, source, period rule, privacy classification and version.</w:t>
      </w:r>
    </w:p>
    <w:p>
      <w:pPr>
        <w:pStyle w:val="BodyText"/>
        <w:ind w:left="374" w:hanging="374"/>
      </w:pPr>
      <w:r>
        <w:rPr>
          <w:b/>
        </w:rPr>
        <w:t xml:space="preserve">2.  </w:t>
      </w:r>
      <w:r>
        <w:t>No data is better than false data: missing, stale, partial and failed states are explicit.</w:t>
      </w:r>
    </w:p>
    <w:p>
      <w:pPr>
        <w:pStyle w:val="BodyText"/>
        <w:ind w:left="374" w:hanging="374"/>
      </w:pPr>
      <w:r>
        <w:rPr>
          <w:b/>
        </w:rPr>
        <w:t xml:space="preserve">3.  </w:t>
      </w:r>
      <w:r>
        <w:t>Authorization is re-evaluated when requesting, generating, approving and downloading an artifact.</w:t>
      </w:r>
    </w:p>
    <w:p>
      <w:pPr>
        <w:pStyle w:val="BodyText"/>
        <w:ind w:left="374" w:hanging="374"/>
      </w:pPr>
      <w:r>
        <w:rPr>
          <w:b/>
        </w:rPr>
        <w:t xml:space="preserve">4.  </w:t>
      </w:r>
      <w:r>
        <w:t>Official output is produced from a frozen snapshot or repeatable cutoff and includes complete lineage.</w:t>
      </w:r>
    </w:p>
    <w:p>
      <w:pPr>
        <w:pStyle w:val="BodyText"/>
        <w:ind w:left="374" w:hanging="374"/>
      </w:pPr>
      <w:r>
        <w:rPr>
          <w:b/>
        </w:rPr>
        <w:t xml:space="preserve">5.  </w:t>
      </w:r>
      <w:r>
        <w:t>Validation is evidence: results, exceptions, overrides and approvals are retained with the generation.</w:t>
      </w:r>
    </w:p>
    <w:p>
      <w:pPr>
        <w:pStyle w:val="BodyText"/>
        <w:ind w:left="374" w:hanging="374"/>
      </w:pPr>
      <w:r>
        <w:rPr>
          <w:b/>
        </w:rPr>
        <w:t xml:space="preserve">6.  </w:t>
      </w:r>
      <w:r>
        <w:t>Dashboards summarize; users can drill through to authorized detail and definition context.</w:t>
      </w:r>
    </w:p>
    <w:p>
      <w:pPr>
        <w:pStyle w:val="BodyText"/>
        <w:ind w:left="374" w:hanging="374"/>
      </w:pPr>
      <w:r>
        <w:rPr>
          <w:b/>
        </w:rPr>
        <w:t xml:space="preserve">7.  </w:t>
      </w:r>
      <w:r>
        <w:t>Large work is asynchronous, observable, idempotent and safe to retry.</w:t>
      </w:r>
    </w:p>
    <w:p>
      <w:r>
        <w:br w:type="page"/>
      </w:r>
    </w:p>
    <w:p>
      <w:pPr>
        <w:pStyle w:val="Heading1"/>
      </w:pPr>
      <w:r>
        <w:t>Target Capability Model</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94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Capability</w:t>
            </w:r>
          </w:p>
        </w:tc>
        <w:tc>
          <w:tcPr>
            <w:tcW w:type="dxa" w:w="5976"/>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Responsibilities</w:t>
            </w:r>
          </w:p>
        </w:tc>
        <w:tc>
          <w:tcPr>
            <w:tcW w:type="dxa" w:w="239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Primary users</w:t>
            </w:r>
          </w:p>
        </w:tc>
      </w:tr>
      <w:tr>
        <w:trPr>
          <w:cantSplit/>
        </w:trPr>
        <w:tc>
          <w:tcPr>
            <w:tcW w:type="dxa" w:w="19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 Catalogue</w:t>
            </w:r>
          </w:p>
        </w:tc>
        <w:tc>
          <w:tcPr>
            <w:tcW w:type="dxa" w:w="597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Define report types, parameters, output formats, data contracts, templates, rules, owners and lifecycle status</w:t>
            </w:r>
          </w:p>
        </w:tc>
        <w:tc>
          <w:tcPr>
            <w:tcW w:type="dxa" w:w="23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 owner, data steward, IT</w:t>
            </w:r>
          </w:p>
        </w:tc>
      </w:tr>
      <w:tr>
        <w:trPr>
          <w:cantSplit/>
        </w:trPr>
        <w:tc>
          <w:tcPr>
            <w:tcW w:type="dxa" w:w="19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 Request and Generation</w:t>
            </w:r>
          </w:p>
        </w:tc>
        <w:tc>
          <w:tcPr>
            <w:tcW w:type="dxa" w:w="597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Authorize request, validate parameters, execute snapshot, render artifact, retry and notify</w:t>
            </w:r>
          </w:p>
        </w:tc>
        <w:tc>
          <w:tcPr>
            <w:tcW w:type="dxa" w:w="23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Registrar staff, authorized offices</w:t>
            </w:r>
          </w:p>
        </w:tc>
      </w:tr>
      <w:tr>
        <w:trPr>
          <w:cantSplit/>
        </w:trPr>
        <w:tc>
          <w:tcPr>
            <w:tcW w:type="dxa" w:w="19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Validation and Reconciliation</w:t>
            </w:r>
          </w:p>
        </w:tc>
        <w:tc>
          <w:tcPr>
            <w:tcW w:type="dxa" w:w="597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Run completeness, referential, range, cross-total and policy checks; manage exceptions</w:t>
            </w:r>
          </w:p>
        </w:tc>
        <w:tc>
          <w:tcPr>
            <w:tcW w:type="dxa" w:w="23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Data steward, reviewer</w:t>
            </w:r>
          </w:p>
        </w:tc>
      </w:tr>
      <w:tr>
        <w:trPr>
          <w:cantSplit/>
        </w:trPr>
        <w:tc>
          <w:tcPr>
            <w:tcW w:type="dxa" w:w="19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Approval and Release</w:t>
            </w:r>
          </w:p>
        </w:tc>
        <w:tc>
          <w:tcPr>
            <w:tcW w:type="dxa" w:w="597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Segregated review, approval/rejection, controlled overrides, release and revocation</w:t>
            </w:r>
          </w:p>
        </w:tc>
        <w:tc>
          <w:tcPr>
            <w:tcW w:type="dxa" w:w="23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Approver, compliance officer</w:t>
            </w:r>
          </w:p>
        </w:tc>
      </w:tr>
      <w:tr>
        <w:trPr>
          <w:cantSplit/>
        </w:trPr>
        <w:tc>
          <w:tcPr>
            <w:tcW w:type="dxa" w:w="19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Distribution and Retention</w:t>
            </w:r>
          </w:p>
        </w:tc>
        <w:tc>
          <w:tcPr>
            <w:tcW w:type="dxa" w:w="597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Secure portal delivery, time-limited links, encryption, retention, legal hold and disposal</w:t>
            </w:r>
          </w:p>
        </w:tc>
        <w:tc>
          <w:tcPr>
            <w:tcW w:type="dxa" w:w="23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Requestor, records officer</w:t>
            </w:r>
          </w:p>
        </w:tc>
      </w:tr>
      <w:tr>
        <w:trPr>
          <w:cantSplit/>
        </w:trPr>
        <w:tc>
          <w:tcPr>
            <w:tcW w:type="dxa" w:w="19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Dashboard and Metrics</w:t>
            </w:r>
          </w:p>
        </w:tc>
        <w:tc>
          <w:tcPr>
            <w:tcW w:type="dxa" w:w="597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Certified KPIs, dimensions, snapshots, thresholds, annotations, drill-through and subscriptions</w:t>
            </w:r>
          </w:p>
        </w:tc>
        <w:tc>
          <w:tcPr>
            <w:tcW w:type="dxa" w:w="23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Leadership, registrar, analysts</w:t>
            </w:r>
          </w:p>
        </w:tc>
      </w:tr>
      <w:tr>
        <w:trPr>
          <w:cantSplit/>
        </w:trPr>
        <w:tc>
          <w:tcPr>
            <w:tcW w:type="dxa" w:w="19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Regulatory Reporting</w:t>
            </w:r>
          </w:p>
        </w:tc>
        <w:tc>
          <w:tcPr>
            <w:tcW w:type="dxa" w:w="597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Obligations, deadlines, packages, submissions, acknowledgements, amendments and evidence</w:t>
            </w:r>
          </w:p>
        </w:tc>
        <w:tc>
          <w:tcPr>
            <w:tcW w:type="dxa" w:w="239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Compliance officer, executive signatory</w:t>
            </w:r>
          </w:p>
        </w:tc>
      </w:tr>
      <w:tr>
        <w:trPr>
          <w:cantSplit/>
        </w:trPr>
        <w:tc>
          <w:tcPr>
            <w:tcW w:type="dxa" w:w="19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Administration and Audit</w:t>
            </w:r>
          </w:p>
        </w:tc>
        <w:tc>
          <w:tcPr>
            <w:tcW w:type="dxa" w:w="597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Roles, scopes, configuration, lineage, logs, monitoring and control evidence</w:t>
            </w:r>
          </w:p>
        </w:tc>
        <w:tc>
          <w:tcPr>
            <w:tcW w:type="dxa" w:w="239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IT/security/audit</w:t>
            </w:r>
          </w:p>
        </w:tc>
      </w:tr>
    </w:tbl>
    <w:p>
      <w:pPr>
        <w:spacing w:after="0"/>
      </w:pPr>
    </w:p>
    <w:p>
      <w:pPr>
        <w:pStyle w:val="Heading1"/>
      </w:pPr>
      <w:r>
        <w:t>Target Logical Architecture</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2476"/>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Experience</w:t>
            </w:r>
          </w:p>
        </w:tc>
        <w:tc>
          <w:tcPr>
            <w:tcW w:type="dxa" w:w="2923"/>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Application services</w:t>
            </w:r>
          </w:p>
        </w:tc>
        <w:tc>
          <w:tcPr>
            <w:tcW w:type="dxa" w:w="262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Data and platform</w:t>
            </w:r>
          </w:p>
        </w:tc>
        <w:tc>
          <w:tcPr>
            <w:tcW w:type="dxa" w:w="2289"/>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External / output</w:t>
            </w:r>
          </w:p>
        </w:tc>
      </w:tr>
      <w:tr>
        <w:trPr>
          <w:cantSplit/>
        </w:trPr>
        <w:tc>
          <w:tcPr>
            <w:tcW w:type="dxa" w:w="247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Dashboard UI</w:t>
              <w:br/>
              <w:t>Report catalogue</w:t>
              <w:br/>
              <w:t>Request wizard</w:t>
              <w:br/>
              <w:t>Validation workbench</w:t>
              <w:br/>
              <w:t>Approval inbox</w:t>
              <w:br/>
              <w:t>Download center</w:t>
            </w:r>
          </w:p>
        </w:tc>
        <w:tc>
          <w:tcPr>
            <w:tcW w:type="dxa" w:w="292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Access policy</w:t>
              <w:br/>
              <w:t>Report orchestration</w:t>
              <w:br/>
              <w:t>Metric service</w:t>
              <w:br/>
              <w:t>Validation engine</w:t>
              <w:br/>
              <w:t>Approval workflow</w:t>
              <w:br/>
              <w:t>Rendering/export</w:t>
              <w:br/>
              <w:t>Notification</w:t>
              <w:br/>
              <w:t>Regulatory submission</w:t>
            </w:r>
          </w:p>
        </w:tc>
        <w:tc>
          <w:tcPr>
            <w:tcW w:type="dxa" w:w="262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Operational DB</w:t>
              <w:br/>
              <w:t>Read replica / reporting store</w:t>
              <w:br/>
              <w:t>Certified snapshots</w:t>
              <w:br/>
              <w:t>Cache</w:t>
              <w:br/>
              <w:t>Queue</w:t>
              <w:br/>
              <w:t>Object storage</w:t>
              <w:br/>
              <w:t>Audit and lineage store</w:t>
              <w:br/>
              <w:t>Observability</w:t>
            </w:r>
          </w:p>
        </w:tc>
        <w:tc>
          <w:tcPr>
            <w:tcW w:type="dxa" w:w="228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PDF/PDF-A</w:t>
              <w:br/>
              <w:t>CSV/XLSX</w:t>
              <w:br/>
              <w:t>Controlled DOCX</w:t>
              <w:br/>
              <w:t>Secure API/SFTP</w:t>
              <w:br/>
              <w:t>Regulator portal</w:t>
              <w:br/>
              <w:t>Email notification (no sensitive attachment by default)</w:t>
            </w:r>
          </w:p>
        </w:tc>
      </w:tr>
    </w:tbl>
    <w:p>
      <w:pPr>
        <w:spacing w:after="0"/>
      </w:pPr>
    </w:p>
    <w:p>
      <w:pPr>
        <w:pStyle w:val="BodyText"/>
      </w:pPr>
      <w:r>
        <w:t>Recommended deployment boundary: preserve the modular application if it meets scale needs, but isolate report orchestration, rendering, validation, queue workers, object storage and reporting read models behind explicit interfaces. A warehouse is optional; certified snapshots and a read replica may be sufficient initially.</w:t>
      </w:r>
    </w:p>
    <w:p>
      <w:pPr>
        <w:pStyle w:val="Heading2"/>
      </w:pPr>
      <w:r>
        <w:t>Component Requirements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78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Component</w:t>
            </w:r>
          </w:p>
        </w:tc>
        <w:tc>
          <w:tcPr>
            <w:tcW w:type="dxa" w:w="583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Must provide</w:t>
            </w:r>
          </w:p>
        </w:tc>
        <w:tc>
          <w:tcPr>
            <w:tcW w:type="dxa" w:w="269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Failure behavior</w:t>
            </w:r>
          </w:p>
        </w:tc>
      </w:tr>
      <w:tr>
        <w:trPr>
          <w:cantSplit/>
        </w:trPr>
        <w:tc>
          <w:tcPr>
            <w:tcW w:type="dxa" w:w="178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Report API/service</w:t>
            </w:r>
          </w:p>
        </w:tc>
        <w:tc>
          <w:tcPr>
            <w:tcW w:type="dxa" w:w="583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Typed request schema, authorization context, idempotency key, generation ID, status and result metadata</w:t>
            </w:r>
          </w:p>
        </w:tc>
        <w:tc>
          <w:tcPr>
            <w:tcW w:type="dxa" w:w="26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Reject invalid request; never return partial artifact as complete</w:t>
            </w:r>
          </w:p>
        </w:tc>
      </w:tr>
      <w:tr>
        <w:trPr>
          <w:cantSplit/>
        </w:trPr>
        <w:tc>
          <w:tcPr>
            <w:tcW w:type="dxa" w:w="178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Orchestrator</w:t>
            </w:r>
          </w:p>
        </w:tc>
        <w:tc>
          <w:tcPr>
            <w:tcW w:type="dxa" w:w="583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State machine, retries, deadlines, cancellation, deduplication and correlation ID</w:t>
            </w:r>
          </w:p>
        </w:tc>
        <w:tc>
          <w:tcPr>
            <w:tcW w:type="dxa" w:w="26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Retry safe steps; move irrecoverable jobs to reviewed failure state</w:t>
            </w:r>
          </w:p>
        </w:tc>
      </w:tr>
      <w:tr>
        <w:trPr>
          <w:cantSplit/>
        </w:trPr>
        <w:tc>
          <w:tcPr>
            <w:tcW w:type="dxa" w:w="178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Query/read model</w:t>
            </w:r>
          </w:p>
        </w:tc>
        <w:tc>
          <w:tcPr>
            <w:tcW w:type="dxa" w:w="583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Approved dataset contract, cutoff, consistent isolation, row scope and resource limits</w:t>
            </w:r>
          </w:p>
        </w:tc>
        <w:tc>
          <w:tcPr>
            <w:tcW w:type="dxa" w:w="26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Mark data unavailable/partial with diagnostic reference</w:t>
            </w:r>
          </w:p>
        </w:tc>
      </w:tr>
      <w:tr>
        <w:trPr>
          <w:cantSplit/>
        </w:trPr>
        <w:tc>
          <w:tcPr>
            <w:tcW w:type="dxa" w:w="178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Validation engine</w:t>
            </w:r>
          </w:p>
        </w:tc>
        <w:tc>
          <w:tcPr>
            <w:tcW w:type="dxa" w:w="583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Versioned reusable rules, severity, evidence sample, counts and override policy</w:t>
            </w:r>
          </w:p>
        </w:tc>
        <w:tc>
          <w:tcPr>
            <w:tcW w:type="dxa" w:w="26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Blocking failure prevents release; warnings require acknowledgement</w:t>
            </w:r>
          </w:p>
        </w:tc>
      </w:tr>
      <w:tr>
        <w:trPr>
          <w:cantSplit/>
        </w:trPr>
        <w:tc>
          <w:tcPr>
            <w:tcW w:type="dxa" w:w="178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Renderer</w:t>
            </w:r>
          </w:p>
        </w:tc>
        <w:tc>
          <w:tcPr>
            <w:tcW w:type="dxa" w:w="583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Versioned templates, accessible outputs, locale/timezone, pagination and deterministic content</w:t>
            </w:r>
          </w:p>
        </w:tc>
        <w:tc>
          <w:tcPr>
            <w:tcW w:type="dxa" w:w="26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Do not publish when template/assets are unavailable</w:t>
            </w:r>
          </w:p>
        </w:tc>
      </w:tr>
      <w:tr>
        <w:trPr>
          <w:cantSplit/>
        </w:trPr>
        <w:tc>
          <w:tcPr>
            <w:tcW w:type="dxa" w:w="178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Artifact store</w:t>
            </w:r>
          </w:p>
        </w:tc>
        <w:tc>
          <w:tcPr>
            <w:tcW w:type="dxa" w:w="583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Encryption, hash, MIME/size, retention, malware scanning and legal hold</w:t>
            </w:r>
          </w:p>
        </w:tc>
        <w:tc>
          <w:tcPr>
            <w:tcW w:type="dxa" w:w="26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Quarantine suspicious or unverifiable artifacts</w:t>
            </w:r>
          </w:p>
        </w:tc>
      </w:tr>
      <w:tr>
        <w:trPr>
          <w:cantSplit/>
        </w:trPr>
        <w:tc>
          <w:tcPr>
            <w:tcW w:type="dxa" w:w="178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Metric service</w:t>
            </w:r>
          </w:p>
        </w:tc>
        <w:tc>
          <w:tcPr>
            <w:tcW w:type="dxa" w:w="583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Certified definitions, snapshot/as-of time, dimensions, freshness and quality status</w:t>
            </w:r>
          </w:p>
        </w:tc>
        <w:tc>
          <w:tcPr>
            <w:tcW w:type="dxa" w:w="26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Return explicit stale/unavailable state</w:t>
            </w:r>
          </w:p>
        </w:tc>
      </w:tr>
      <w:tr>
        <w:trPr>
          <w:cantSplit/>
        </w:trPr>
        <w:tc>
          <w:tcPr>
            <w:tcW w:type="dxa" w:w="178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Audit/lineage</w:t>
            </w:r>
          </w:p>
        </w:tc>
        <w:tc>
          <w:tcPr>
            <w:tcW w:type="dxa" w:w="583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Append-only events, actor, purpose, scope, definition/rule/template/data versions</w:t>
            </w:r>
          </w:p>
        </w:tc>
        <w:tc>
          <w:tcPr>
            <w:tcW w:type="dxa" w:w="26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Audit failure blocks official release</w:t>
            </w:r>
          </w:p>
        </w:tc>
      </w:tr>
    </w:tbl>
    <w:p>
      <w:pPr>
        <w:spacing w:after="0"/>
      </w:pPr>
    </w:p>
    <w:p>
      <w:r>
        <w:br w:type="page"/>
      </w:r>
    </w:p>
    <w:p>
      <w:pPr>
        <w:pStyle w:val="Heading1"/>
      </w:pPr>
      <w:r>
        <w:t>Governance and Roles</w:t>
      </w:r>
    </w:p>
    <w:tbl>
      <w:tblPr>
        <w:tblStyle w:val="TableGrid"/>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cantSplit/>
        </w:trPr>
        <w:tc>
          <w:tcPr>
            <w:tcW w:type="dxa" w:w="2188"/>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Activity</w:t>
            </w:r>
          </w:p>
        </w:tc>
        <w:tc>
          <w:tcPr>
            <w:tcW w:type="dxa" w:w="1108"/>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Registrar</w:t>
            </w:r>
          </w:p>
        </w:tc>
        <w:tc>
          <w:tcPr>
            <w:tcW w:type="dxa" w:w="1267"/>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Report owner</w:t>
            </w:r>
          </w:p>
        </w:tc>
        <w:tc>
          <w:tcPr>
            <w:tcW w:type="dxa" w:w="1267"/>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Data steward</w:t>
            </w:r>
          </w:p>
        </w:tc>
        <w:tc>
          <w:tcPr>
            <w:tcW w:type="dxa" w:w="109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IT / DBA</w:t>
            </w:r>
          </w:p>
        </w:tc>
        <w:tc>
          <w:tcPr>
            <w:tcW w:type="dxa" w:w="1598"/>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Approver / Compliance</w:t>
            </w:r>
          </w:p>
        </w:tc>
        <w:tc>
          <w:tcPr>
            <w:tcW w:type="dxa" w:w="1036"/>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Auditor</w:t>
            </w:r>
          </w:p>
        </w:tc>
      </w:tr>
      <w:tr>
        <w:trPr>
          <w:cantSplit/>
        </w:trPr>
        <w:tc>
          <w:tcPr>
            <w:tcW w:type="dxa" w:w="218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Approve metric/report definition</w:t>
            </w:r>
          </w:p>
        </w:tc>
        <w:tc>
          <w:tcPr>
            <w:tcW w:type="dxa" w:w="110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A/R</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R</w:t>
            </w:r>
          </w:p>
        </w:tc>
        <w:tc>
          <w:tcPr>
            <w:tcW w:type="dxa" w:w="109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59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3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r>
      <w:tr>
        <w:trPr>
          <w:cantSplit/>
        </w:trPr>
        <w:tc>
          <w:tcPr>
            <w:tcW w:type="dxa" w:w="218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Approve source data contract</w:t>
            </w:r>
          </w:p>
        </w:tc>
        <w:tc>
          <w:tcPr>
            <w:tcW w:type="dxa" w:w="110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26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26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A/R</w:t>
            </w:r>
          </w:p>
        </w:tc>
        <w:tc>
          <w:tcPr>
            <w:tcW w:type="dxa" w:w="109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R</w:t>
            </w:r>
          </w:p>
        </w:tc>
        <w:tc>
          <w:tcPr>
            <w:tcW w:type="dxa" w:w="159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c>
          <w:tcPr>
            <w:tcW w:type="dxa" w:w="103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r>
      <w:tr>
        <w:trPr>
          <w:cantSplit/>
        </w:trPr>
        <w:tc>
          <w:tcPr>
            <w:tcW w:type="dxa" w:w="218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Configure access policy</w:t>
            </w:r>
          </w:p>
        </w:tc>
        <w:tc>
          <w:tcPr>
            <w:tcW w:type="dxa" w:w="110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A</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9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R</w:t>
            </w:r>
          </w:p>
        </w:tc>
        <w:tc>
          <w:tcPr>
            <w:tcW w:type="dxa" w:w="159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3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r>
      <w:tr>
        <w:trPr>
          <w:cantSplit/>
        </w:trPr>
        <w:tc>
          <w:tcPr>
            <w:tcW w:type="dxa" w:w="218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Request operational report</w:t>
            </w:r>
          </w:p>
        </w:tc>
        <w:tc>
          <w:tcPr>
            <w:tcW w:type="dxa" w:w="110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A/R</w:t>
            </w:r>
          </w:p>
        </w:tc>
        <w:tc>
          <w:tcPr>
            <w:tcW w:type="dxa" w:w="126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26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c>
          <w:tcPr>
            <w:tcW w:type="dxa" w:w="109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c>
          <w:tcPr>
            <w:tcW w:type="dxa" w:w="159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c>
          <w:tcPr>
            <w:tcW w:type="dxa" w:w="103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r>
      <w:tr>
        <w:trPr>
          <w:cantSplit/>
        </w:trPr>
        <w:tc>
          <w:tcPr>
            <w:tcW w:type="dxa" w:w="218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Resolve validation exception</w:t>
            </w:r>
          </w:p>
        </w:tc>
        <w:tc>
          <w:tcPr>
            <w:tcW w:type="dxa" w:w="110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A</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R</w:t>
            </w:r>
          </w:p>
        </w:tc>
        <w:tc>
          <w:tcPr>
            <w:tcW w:type="dxa" w:w="109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59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3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r>
      <w:tr>
        <w:trPr>
          <w:cantSplit/>
        </w:trPr>
        <w:tc>
          <w:tcPr>
            <w:tcW w:type="dxa" w:w="218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Approve official report</w:t>
            </w:r>
          </w:p>
        </w:tc>
        <w:tc>
          <w:tcPr>
            <w:tcW w:type="dxa" w:w="110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26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R</w:t>
            </w:r>
          </w:p>
        </w:tc>
        <w:tc>
          <w:tcPr>
            <w:tcW w:type="dxa" w:w="126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9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c>
          <w:tcPr>
            <w:tcW w:type="dxa" w:w="159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A</w:t>
            </w:r>
          </w:p>
        </w:tc>
        <w:tc>
          <w:tcPr>
            <w:tcW w:type="dxa" w:w="103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r>
      <w:tr>
        <w:trPr>
          <w:cantSplit/>
        </w:trPr>
        <w:tc>
          <w:tcPr>
            <w:tcW w:type="dxa" w:w="218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Submit regulatory package</w:t>
            </w:r>
          </w:p>
        </w:tc>
        <w:tc>
          <w:tcPr>
            <w:tcW w:type="dxa" w:w="110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9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c>
          <w:tcPr>
            <w:tcW w:type="dxa" w:w="159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A/R</w:t>
            </w:r>
          </w:p>
        </w:tc>
        <w:tc>
          <w:tcPr>
            <w:tcW w:type="dxa" w:w="103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r>
      <w:tr>
        <w:trPr>
          <w:cantSplit/>
        </w:trPr>
        <w:tc>
          <w:tcPr>
            <w:tcW w:type="dxa" w:w="218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Retain/dispose artifacts</w:t>
            </w:r>
          </w:p>
        </w:tc>
        <w:tc>
          <w:tcPr>
            <w:tcW w:type="dxa" w:w="110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A</w:t>
            </w:r>
          </w:p>
        </w:tc>
        <w:tc>
          <w:tcPr>
            <w:tcW w:type="dxa" w:w="126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R</w:t>
            </w:r>
          </w:p>
        </w:tc>
        <w:tc>
          <w:tcPr>
            <w:tcW w:type="dxa" w:w="126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9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R</w:t>
            </w:r>
          </w:p>
        </w:tc>
        <w:tc>
          <w:tcPr>
            <w:tcW w:type="dxa" w:w="159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3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I</w:t>
            </w:r>
          </w:p>
        </w:tc>
      </w:tr>
      <w:tr>
        <w:trPr>
          <w:cantSplit/>
        </w:trPr>
        <w:tc>
          <w:tcPr>
            <w:tcW w:type="dxa" w:w="218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Review control effectiveness</w:t>
            </w:r>
          </w:p>
        </w:tc>
        <w:tc>
          <w:tcPr>
            <w:tcW w:type="dxa" w:w="110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26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9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59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C</w:t>
            </w:r>
          </w:p>
        </w:tc>
        <w:tc>
          <w:tcPr>
            <w:tcW w:type="dxa" w:w="103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A/R</w:t>
            </w:r>
          </w:p>
        </w:tc>
      </w:tr>
    </w:tbl>
    <w:p>
      <w:pPr>
        <w:spacing w:after="0"/>
      </w:pPr>
    </w:p>
    <w:p>
      <w:pPr>
        <w:pStyle w:val="Heading2"/>
      </w:pPr>
      <w:r>
        <w:t>Definition Lifecycle</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144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State</w:t>
            </w:r>
          </w:p>
        </w:tc>
        <w:tc>
          <w:tcPr>
            <w:tcW w:type="dxa" w:w="324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Entry requirement</w:t>
            </w:r>
          </w:p>
        </w:tc>
        <w:tc>
          <w:tcPr>
            <w:tcW w:type="dxa" w:w="3571"/>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Allowed use</w:t>
            </w:r>
          </w:p>
        </w:tc>
        <w:tc>
          <w:tcPr>
            <w:tcW w:type="dxa" w:w="2059"/>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Exit control</w:t>
            </w:r>
          </w:p>
        </w:tc>
      </w:tr>
      <w:tr>
        <w:trPr>
          <w:cantSplit/>
        </w:trPr>
        <w:tc>
          <w:tcPr>
            <w:tcW w:type="dxa" w:w="144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Draft</w:t>
            </w:r>
          </w:p>
        </w:tc>
        <w:tc>
          <w:tcPr>
            <w:tcW w:type="dxa" w:w="324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Owner and purpose identified</w:t>
            </w:r>
          </w:p>
        </w:tc>
        <w:tc>
          <w:tcPr>
            <w:tcW w:type="dxa" w:w="357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Design and test only</w:t>
            </w:r>
          </w:p>
        </w:tc>
        <w:tc>
          <w:tcPr>
            <w:tcW w:type="dxa" w:w="205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Data steward and technical review</w:t>
            </w:r>
          </w:p>
        </w:tc>
      </w:tr>
      <w:tr>
        <w:trPr>
          <w:cantSplit/>
        </w:trPr>
        <w:tc>
          <w:tcPr>
            <w:tcW w:type="dxa" w:w="144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Validated</w:t>
            </w:r>
          </w:p>
        </w:tc>
        <w:tc>
          <w:tcPr>
            <w:tcW w:type="dxa" w:w="324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Rule tests pass against golden/representative data</w:t>
            </w:r>
          </w:p>
        </w:tc>
        <w:tc>
          <w:tcPr>
            <w:tcW w:type="dxa" w:w="357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UAT and parallel run</w:t>
            </w:r>
          </w:p>
        </w:tc>
        <w:tc>
          <w:tcPr>
            <w:tcW w:type="dxa" w:w="205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Business owner approval</w:t>
            </w:r>
          </w:p>
        </w:tc>
      </w:tr>
      <w:tr>
        <w:trPr>
          <w:cantSplit/>
        </w:trPr>
        <w:tc>
          <w:tcPr>
            <w:tcW w:type="dxa" w:w="144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Certified</w:t>
            </w:r>
          </w:p>
        </w:tc>
        <w:tc>
          <w:tcPr>
            <w:tcW w:type="dxa" w:w="324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Definition, lineage, privacy, SLO and reconciliation approved</w:t>
            </w:r>
          </w:p>
        </w:tc>
        <w:tc>
          <w:tcPr>
            <w:tcW w:type="dxa" w:w="357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Operational/official use within approved scope</w:t>
            </w:r>
          </w:p>
        </w:tc>
        <w:tc>
          <w:tcPr>
            <w:tcW w:type="dxa" w:w="205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Controlled change request</w:t>
            </w:r>
          </w:p>
        </w:tc>
      </w:tr>
      <w:tr>
        <w:trPr>
          <w:cantSplit/>
        </w:trPr>
        <w:tc>
          <w:tcPr>
            <w:tcW w:type="dxa" w:w="144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Deprecated</w:t>
            </w:r>
          </w:p>
        </w:tc>
        <w:tc>
          <w:tcPr>
            <w:tcW w:type="dxa" w:w="324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Replacement or end date recorded</w:t>
            </w:r>
          </w:p>
        </w:tc>
        <w:tc>
          <w:tcPr>
            <w:tcW w:type="dxa" w:w="3571"/>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Historical reproduction only</w:t>
            </w:r>
          </w:p>
        </w:tc>
        <w:tc>
          <w:tcPr>
            <w:tcW w:type="dxa" w:w="205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Retention/disposal review</w:t>
            </w:r>
          </w:p>
        </w:tc>
      </w:tr>
      <w:tr>
        <w:trPr>
          <w:cantSplit/>
        </w:trPr>
        <w:tc>
          <w:tcPr>
            <w:tcW w:type="dxa" w:w="144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Retired</w:t>
            </w:r>
          </w:p>
        </w:tc>
        <w:tc>
          <w:tcPr>
            <w:tcW w:type="dxa" w:w="324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No active obligation or permitted generation</w:t>
            </w:r>
          </w:p>
        </w:tc>
        <w:tc>
          <w:tcPr>
            <w:tcW w:type="dxa" w:w="3571"/>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Audit/history only</w:t>
            </w:r>
          </w:p>
        </w:tc>
        <w:tc>
          <w:tcPr>
            <w:tcW w:type="dxa" w:w="205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Records policy</w:t>
            </w:r>
          </w:p>
        </w:tc>
      </w:tr>
    </w:tbl>
    <w:p>
      <w:pPr>
        <w:spacing w:after="0"/>
      </w:pPr>
    </w:p>
    <w:p>
      <w:r>
        <w:br w:type="page"/>
      </w:r>
    </w:p>
    <w:p>
      <w:pPr>
        <w:pStyle w:val="Heading1"/>
      </w:pPr>
      <w:r>
        <w:t>End-to-End Business Process Flows</w:t>
      </w:r>
    </w:p>
    <w:p>
      <w:pPr>
        <w:pStyle w:val="Heading2"/>
      </w:pPr>
      <w:r>
        <w:t>Official Report Generation and Release</w:t>
      </w:r>
    </w:p>
    <w:p>
      <w:pPr>
        <w:pStyle w:val="BodyText"/>
      </w:pPr>
      <w:r>
        <w:t>Editable swimlane representation. Read the numbered rows from top to bottom; arrows describe the hand-off to the next step.</w:t>
      </w:r>
    </w:p>
    <w:tbl>
      <w:tblPr>
        <w:tblStyle w:val="TableGrid"/>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cantSplit/>
        </w:trPr>
        <w:tc>
          <w:tcPr>
            <w:tcW w:type="dxa" w:w="60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Step</w:t>
            </w:r>
          </w:p>
        </w:tc>
        <w:tc>
          <w:tcPr>
            <w:tcW w:type="dxa" w:w="159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Requestor</w:t>
            </w:r>
          </w:p>
        </w:tc>
        <w:tc>
          <w:tcPr>
            <w:tcW w:type="dxa" w:w="159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Report service</w:t>
            </w:r>
          </w:p>
        </w:tc>
        <w:tc>
          <w:tcPr>
            <w:tcW w:type="dxa" w:w="159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Data/validation</w:t>
            </w:r>
          </w:p>
        </w:tc>
        <w:tc>
          <w:tcPr>
            <w:tcW w:type="dxa" w:w="159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Reviewer/approver</w:t>
            </w:r>
          </w:p>
        </w:tc>
        <w:tc>
          <w:tcPr>
            <w:tcW w:type="dxa" w:w="159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Delivery/audit</w:t>
            </w:r>
          </w:p>
        </w:tc>
        <w:tc>
          <w:tcPr>
            <w:tcW w:type="dxa" w:w="165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Control / output</w:t>
            </w:r>
          </w:p>
        </w:tc>
      </w:tr>
      <w:tr>
        <w:trPr>
          <w:cantSplit/>
        </w:trPr>
        <w:tc>
          <w:tcPr>
            <w:tcW w:type="dxa" w:w="6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1</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Select certified report and purpose; enter parameters →</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Authorize report, purpose, format and row scope</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Record request</w:t>
            </w:r>
          </w:p>
        </w:tc>
        <w:tc>
          <w:tcPr>
            <w:tcW w:type="dxa" w:w="16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Default deny; idempotency key</w:t>
            </w:r>
          </w:p>
        </w:tc>
      </w:tr>
      <w:tr>
        <w:trPr>
          <w:cantSplit/>
        </w:trPr>
        <w:tc>
          <w:tcPr>
            <w:tcW w:type="dxa" w:w="6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2</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Confirm request summary →</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Validate schema, period, range, required fields and volume</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Resolve certified definition/rules/template</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Create generation ID</w:t>
            </w:r>
          </w:p>
        </w:tc>
        <w:tc>
          <w:tcPr>
            <w:tcW w:type="dxa" w:w="165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Freeze versions</w:t>
            </w:r>
          </w:p>
        </w:tc>
      </w:tr>
      <w:tr>
        <w:trPr>
          <w:cantSplit/>
        </w:trPr>
        <w:tc>
          <w:tcPr>
            <w:tcW w:type="dxa" w:w="6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3</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Queue job and establish data cutoff →</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Read consistent snapshot with row scope</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Log lineage</w:t>
            </w:r>
          </w:p>
        </w:tc>
        <w:tc>
          <w:tcPr>
            <w:tcW w:type="dxa" w:w="16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Repeatable dataset</w:t>
            </w:r>
          </w:p>
        </w:tc>
      </w:tr>
      <w:tr>
        <w:trPr>
          <w:cantSplit/>
        </w:trPr>
        <w:tc>
          <w:tcPr>
            <w:tcW w:type="dxa" w:w="6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4</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Run blocking/warning/reconciliation checks →</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Review exceptions if any</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Store rule results</w:t>
            </w:r>
          </w:p>
        </w:tc>
        <w:tc>
          <w:tcPr>
            <w:tcW w:type="dxa" w:w="165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Block on error</w:t>
            </w:r>
          </w:p>
        </w:tc>
      </w:tr>
      <w:tr>
        <w:trPr>
          <w:cantSplit/>
        </w:trPr>
        <w:tc>
          <w:tcPr>
            <w:tcW w:type="dxa" w:w="6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5</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Render provisional artifact and manifest →</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Verify totals/hash</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Approve, reject or request correction</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Audit decision</w:t>
            </w:r>
          </w:p>
        </w:tc>
        <w:tc>
          <w:tcPr>
            <w:tcW w:type="dxa" w:w="16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Segregation of duties</w:t>
            </w:r>
          </w:p>
        </w:tc>
      </w:tr>
      <w:tr>
        <w:trPr>
          <w:cantSplit/>
        </w:trPr>
        <w:tc>
          <w:tcPr>
            <w:tcW w:type="dxa" w:w="6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6</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Receive release notification</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Release approved artifact</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Secure download/submission; receipt; retention</w:t>
            </w:r>
          </w:p>
        </w:tc>
        <w:tc>
          <w:tcPr>
            <w:tcW w:type="dxa" w:w="165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Reauthorize download</w:t>
            </w:r>
          </w:p>
        </w:tc>
      </w:tr>
      <w:tr>
        <w:trPr>
          <w:cantSplit/>
        </w:trPr>
        <w:tc>
          <w:tcPr>
            <w:tcW w:type="dxa" w:w="6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7</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Handle amendment/revocation</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Link superseding generation</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Approve amended release</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Preserve history</w:t>
            </w:r>
          </w:p>
        </w:tc>
        <w:tc>
          <w:tcPr>
            <w:tcW w:type="dxa" w:w="16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Never overwrite released artifact</w:t>
            </w:r>
          </w:p>
        </w:tc>
      </w:tr>
    </w:tbl>
    <w:p>
      <w:pPr>
        <w:spacing w:after="0"/>
      </w:pPr>
    </w:p>
    <w:p>
      <w:pPr>
        <w:pStyle w:val="Heading2"/>
      </w:pPr>
      <w:r>
        <w:t>Dashboard Metric Publication</w:t>
      </w:r>
    </w:p>
    <w:p>
      <w:pPr>
        <w:pStyle w:val="BodyText"/>
      </w:pPr>
      <w:r>
        <w:t>Editable swimlane representation. Read the numbered rows from top to bottom; arrows describe the hand-off to the next step.</w:t>
      </w:r>
    </w:p>
    <w:tbl>
      <w:tblPr>
        <w:tblStyle w:val="TableGrid"/>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cantSplit/>
        </w:trPr>
        <w:tc>
          <w:tcPr>
            <w:tcW w:type="dxa" w:w="60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Step</w:t>
            </w:r>
          </w:p>
        </w:tc>
        <w:tc>
          <w:tcPr>
            <w:tcW w:type="dxa" w:w="159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Metric owner</w:t>
            </w:r>
          </w:p>
        </w:tc>
        <w:tc>
          <w:tcPr>
            <w:tcW w:type="dxa" w:w="159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Data pipeline</w:t>
            </w:r>
          </w:p>
        </w:tc>
        <w:tc>
          <w:tcPr>
            <w:tcW w:type="dxa" w:w="159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Metric service</w:t>
            </w:r>
          </w:p>
        </w:tc>
        <w:tc>
          <w:tcPr>
            <w:tcW w:type="dxa" w:w="159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Dashboard user</w:t>
            </w:r>
          </w:p>
        </w:tc>
        <w:tc>
          <w:tcPr>
            <w:tcW w:type="dxa" w:w="159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Operations</w:t>
            </w:r>
          </w:p>
        </w:tc>
        <w:tc>
          <w:tcPr>
            <w:tcW w:type="dxa" w:w="165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Control / output</w:t>
            </w:r>
          </w:p>
        </w:tc>
      </w:tr>
      <w:tr>
        <w:trPr>
          <w:cantSplit/>
        </w:trPr>
        <w:tc>
          <w:tcPr>
            <w:tcW w:type="dxa" w:w="6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1</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Approve certified definition/thresholds →</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Validate data contract</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Register version</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Record certification</w:t>
            </w:r>
          </w:p>
        </w:tc>
        <w:tc>
          <w:tcPr>
            <w:tcW w:type="dxa" w:w="16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Owner and version required</w:t>
            </w:r>
          </w:p>
        </w:tc>
      </w:tr>
      <w:tr>
        <w:trPr>
          <w:cantSplit/>
        </w:trPr>
        <w:tc>
          <w:tcPr>
            <w:tcW w:type="dxa" w:w="6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2</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Ingest/transform to certified snapshot →</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Calculate numerator, denominator, dimensions</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Monitor run</w:t>
            </w:r>
          </w:p>
        </w:tc>
        <w:tc>
          <w:tcPr>
            <w:tcW w:type="dxa" w:w="165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Cutoff and lineage</w:t>
            </w:r>
          </w:p>
        </w:tc>
      </w:tr>
      <w:tr>
        <w:trPr>
          <w:cantSplit/>
        </w:trPr>
        <w:tc>
          <w:tcPr>
            <w:tcW w:type="dxa" w:w="6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3</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Review exceptions</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Run freshness/completeness/reconciliation</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Set quality status →</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Alert on threshold</w:t>
            </w:r>
          </w:p>
        </w:tc>
        <w:tc>
          <w:tcPr>
            <w:tcW w:type="dxa" w:w="16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Failed metric is not silently published</w:t>
            </w:r>
          </w:p>
        </w:tc>
      </w:tr>
      <w:tr>
        <w:trPr>
          <w:cantSplit/>
        </w:trPr>
        <w:tc>
          <w:tcPr>
            <w:tcW w:type="dxa" w:w="6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4</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Publish value + as-of + definition + status</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View/filter/drill through</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Measure latency</w:t>
            </w:r>
          </w:p>
        </w:tc>
        <w:tc>
          <w:tcPr>
            <w:tcW w:type="dxa" w:w="165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Authorized dimensions only</w:t>
            </w:r>
          </w:p>
        </w:tc>
      </w:tr>
      <w:tr>
        <w:trPr>
          <w:cantSplit/>
        </w:trPr>
        <w:tc>
          <w:tcPr>
            <w:tcW w:type="dxa" w:w="6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5</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Annotate known event or correction</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Recompute when approved</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Version corrected snapshot</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See annotation/history</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Audit change</w:t>
            </w:r>
          </w:p>
        </w:tc>
        <w:tc>
          <w:tcPr>
            <w:tcW w:type="dxa" w:w="16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No destructive overwrite</w:t>
            </w:r>
          </w:p>
        </w:tc>
      </w:tr>
    </w:tbl>
    <w:p>
      <w:pPr>
        <w:spacing w:after="0"/>
      </w:pPr>
    </w:p>
    <w:p>
      <w:pPr>
        <w:pStyle w:val="Heading2"/>
      </w:pPr>
      <w:r>
        <w:t>Regulatory Submission</w:t>
      </w:r>
    </w:p>
    <w:p>
      <w:pPr>
        <w:pStyle w:val="BodyText"/>
      </w:pPr>
      <w:r>
        <w:t>Editable swimlane representation. Read the numbered rows from top to bottom; arrows describe the hand-off to the next step.</w:t>
      </w:r>
    </w:p>
    <w:tbl>
      <w:tblPr>
        <w:tblStyle w:val="TableGrid"/>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cantSplit/>
        </w:trPr>
        <w:tc>
          <w:tcPr>
            <w:tcW w:type="dxa" w:w="60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center"/>
            </w:pPr>
            <w:r>
              <w:rPr>
                <w:rFonts w:ascii="Aptos" w:hAnsi="Aptos"/>
                <w:b/>
                <w:color w:val="FFFFFF"/>
                <w:sz w:val="13"/>
              </w:rPr>
              <w:t>Step</w:t>
            </w:r>
          </w:p>
        </w:tc>
        <w:tc>
          <w:tcPr>
            <w:tcW w:type="dxa" w:w="159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Compliance</w:t>
            </w:r>
          </w:p>
        </w:tc>
        <w:tc>
          <w:tcPr>
            <w:tcW w:type="dxa" w:w="159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Report service</w:t>
            </w:r>
          </w:p>
        </w:tc>
        <w:tc>
          <w:tcPr>
            <w:tcW w:type="dxa" w:w="159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Data owners</w:t>
            </w:r>
          </w:p>
        </w:tc>
        <w:tc>
          <w:tcPr>
            <w:tcW w:type="dxa" w:w="159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Approver/signatory</w:t>
            </w:r>
          </w:p>
        </w:tc>
        <w:tc>
          <w:tcPr>
            <w:tcW w:type="dxa" w:w="159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Agency/evidence</w:t>
            </w:r>
          </w:p>
        </w:tc>
        <w:tc>
          <w:tcPr>
            <w:tcW w:type="dxa" w:w="165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Control / output</w:t>
            </w:r>
          </w:p>
        </w:tc>
      </w:tr>
      <w:tr>
        <w:trPr>
          <w:cantSplit/>
        </w:trPr>
        <w:tc>
          <w:tcPr>
            <w:tcW w:type="dxa" w:w="6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1</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Maintain verified obligation and due date →</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Schedule reminder/request</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Confirm data readiness</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6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Official-source citation and review date</w:t>
            </w:r>
          </w:p>
        </w:tc>
      </w:tr>
      <w:tr>
        <w:trPr>
          <w:cantSplit/>
        </w:trPr>
        <w:tc>
          <w:tcPr>
            <w:tcW w:type="dxa" w:w="6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2</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Initiate filing period →</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Generate package and manifest</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Resolve validation exceptions</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Review package</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65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Blocking validations cleared</w:t>
            </w:r>
          </w:p>
        </w:tc>
      </w:tr>
      <w:tr>
        <w:trPr>
          <w:cantSplit/>
        </w:trPr>
        <w:tc>
          <w:tcPr>
            <w:tcW w:type="dxa" w:w="6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3</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Lock approved version</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Electronically approve/sign →</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6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MFA and segregation</w:t>
            </w:r>
          </w:p>
        </w:tc>
      </w:tr>
      <w:tr>
        <w:trPr>
          <w:cantSplit/>
        </w:trPr>
        <w:tc>
          <w:tcPr>
            <w:tcW w:type="dxa" w:w="60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4</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Submit through approved channel</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Record delivery metadata</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t>
            </w:r>
          </w:p>
        </w:tc>
        <w:tc>
          <w:tcPr>
            <w:tcW w:type="dxa" w:w="159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Return acknowledgement/error</w:t>
            </w:r>
          </w:p>
        </w:tc>
        <w:tc>
          <w:tcPr>
            <w:tcW w:type="dxa" w:w="165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Receipt retained</w:t>
            </w:r>
          </w:p>
        </w:tc>
      </w:tr>
      <w:tr>
        <w:trPr>
          <w:cantSplit/>
        </w:trPr>
        <w:tc>
          <w:tcPr>
            <w:tcW w:type="dxa" w:w="60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center"/>
            </w:pPr>
            <w:r>
              <w:rPr>
                <w:rFonts w:ascii="Aptos" w:hAnsi="Aptos"/>
                <w:b w:val="0"/>
                <w:color w:val="1F2D27"/>
                <w:sz w:val="13"/>
              </w:rPr>
              <w:t>5</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Correct/re-file if required</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Create linked amendment</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Explain correction</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Reapprove</w:t>
            </w:r>
          </w:p>
        </w:tc>
        <w:tc>
          <w:tcPr>
            <w:tcW w:type="dxa" w:w="159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New acknowledgement</w:t>
            </w:r>
          </w:p>
        </w:tc>
        <w:tc>
          <w:tcPr>
            <w:tcW w:type="dxa" w:w="16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Complete amendment chain</w:t>
            </w:r>
          </w:p>
        </w:tc>
      </w:tr>
    </w:tbl>
    <w:p>
      <w:pPr>
        <w:spacing w:after="0"/>
      </w:pPr>
    </w:p>
    <w:p>
      <w:r>
        <w:br w:type="page"/>
      </w:r>
    </w:p>
    <w:p>
      <w:pPr>
        <w:pStyle w:val="Heading1"/>
      </w:pPr>
      <w:r>
        <w:t>Report Request Requirements</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210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Requirement area</w:t>
            </w:r>
          </w:p>
        </w:tc>
        <w:tc>
          <w:tcPr>
            <w:tcW w:type="dxa" w:w="8208"/>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Mandatory fields and rules</w:t>
            </w:r>
          </w:p>
        </w:tc>
      </w:tr>
      <w:tr>
        <w:trPr>
          <w:cantSplit/>
        </w:trPr>
        <w:tc>
          <w:tcPr>
            <w:tcW w:type="dxa" w:w="210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Identity and authority</w:t>
            </w:r>
          </w:p>
        </w:tc>
        <w:tc>
          <w:tcPr>
            <w:tcW w:type="dxa" w:w="820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Authenticated actor, effective role, organizational/course scope, delegated authority if applicable, MFA for high-risk approval/submission</w:t>
            </w:r>
          </w:p>
        </w:tc>
      </w:tr>
      <w:tr>
        <w:trPr>
          <w:cantSplit/>
        </w:trPr>
        <w:tc>
          <w:tcPr>
            <w:tcW w:type="dxa" w:w="210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Business context</w:t>
            </w:r>
          </w:p>
        </w:tc>
        <w:tc>
          <w:tcPr>
            <w:tcW w:type="dxa" w:w="820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 definition ID/version, purpose code, case/request reference, data classification, intended recipient/channel</w:t>
            </w:r>
          </w:p>
        </w:tc>
      </w:tr>
      <w:tr>
        <w:trPr>
          <w:cantSplit/>
        </w:trPr>
        <w:tc>
          <w:tcPr>
            <w:tcW w:type="dxa" w:w="210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Population</w:t>
            </w:r>
          </w:p>
        </w:tc>
        <w:tc>
          <w:tcPr>
            <w:tcW w:type="dxa" w:w="820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School year, term, as-of/cutoff, program/course, year level, status, date range and authorized subject population as defined by report</w:t>
            </w:r>
          </w:p>
        </w:tc>
      </w:tr>
      <w:tr>
        <w:trPr>
          <w:cantSplit/>
        </w:trPr>
        <w:tc>
          <w:tcPr>
            <w:tcW w:type="dxa" w:w="210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Output</w:t>
            </w:r>
          </w:p>
        </w:tc>
        <w:tc>
          <w:tcPr>
            <w:tcW w:type="dxa" w:w="820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Permitted format, locale, timezone, accessibility option, template version, paper size where print is required</w:t>
            </w:r>
          </w:p>
        </w:tc>
      </w:tr>
      <w:tr>
        <w:trPr>
          <w:cantSplit/>
        </w:trPr>
        <w:tc>
          <w:tcPr>
            <w:tcW w:type="dxa" w:w="210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Execution</w:t>
            </w:r>
          </w:p>
        </w:tc>
        <w:tc>
          <w:tcPr>
            <w:tcW w:type="dxa" w:w="820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Idempotency key, requested priority, maximum rows, asynchronous threshold, expiry and notification destination</w:t>
            </w:r>
          </w:p>
        </w:tc>
      </w:tr>
      <w:tr>
        <w:trPr>
          <w:cantSplit/>
        </w:trPr>
        <w:tc>
          <w:tcPr>
            <w:tcW w:type="dxa" w:w="210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Approval</w:t>
            </w:r>
          </w:p>
        </w:tc>
        <w:tc>
          <w:tcPr>
            <w:tcW w:type="dxa" w:w="820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Approval policy selected by definition and risk; requestor cannot self-approve where segregation is required</w:t>
            </w:r>
          </w:p>
        </w:tc>
      </w:tr>
      <w:tr>
        <w:trPr>
          <w:cantSplit/>
        </w:trPr>
        <w:tc>
          <w:tcPr>
            <w:tcW w:type="dxa" w:w="210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Privacy</w:t>
            </w:r>
          </w:p>
        </w:tc>
        <w:tc>
          <w:tcPr>
            <w:tcW w:type="dxa" w:w="820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Minimum necessary fields, masking/redaction level, consent/legal basis where applicable, watermark and redistribution restriction</w:t>
            </w:r>
          </w:p>
        </w:tc>
      </w:tr>
    </w:tbl>
    <w:p>
      <w:pPr>
        <w:spacing w:after="0"/>
      </w:pPr>
    </w:p>
    <w:p>
      <w:pPr>
        <w:pStyle w:val="Heading1"/>
      </w:pPr>
      <w:r>
        <w:t>Validation Framework</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843"/>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Layer</w:t>
            </w:r>
          </w:p>
        </w:tc>
        <w:tc>
          <w:tcPr>
            <w:tcW w:type="dxa" w:w="636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Representative checks</w:t>
            </w:r>
          </w:p>
        </w:tc>
        <w:tc>
          <w:tcPr>
            <w:tcW w:type="dxa" w:w="210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Severity and behavior</w:t>
            </w:r>
          </w:p>
        </w:tc>
      </w:tr>
      <w:tr>
        <w:trPr>
          <w:cantSplit/>
        </w:trPr>
        <w:tc>
          <w:tcPr>
            <w:tcW w:type="dxa" w:w="184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Request schema</w:t>
            </w:r>
          </w:p>
        </w:tc>
        <w:tc>
          <w:tcPr>
            <w:tcW w:type="dxa" w:w="636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Required/type/length/enum/date/range; parameter dependencies; maximum span and row estimate</w:t>
            </w:r>
          </w:p>
        </w:tc>
        <w:tc>
          <w:tcPr>
            <w:tcW w:type="dxa" w:w="210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Error: reject before queue</w:t>
            </w:r>
          </w:p>
        </w:tc>
      </w:tr>
      <w:tr>
        <w:trPr>
          <w:cantSplit/>
        </w:trPr>
        <w:tc>
          <w:tcPr>
            <w:tcW w:type="dxa" w:w="184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Authorization</w:t>
            </w:r>
          </w:p>
        </w:tc>
        <w:tc>
          <w:tcPr>
            <w:tcW w:type="dxa" w:w="636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Report permission, action permission, row scope, column classification, purpose, recipient and download access</w:t>
            </w:r>
          </w:p>
        </w:tc>
        <w:tc>
          <w:tcPr>
            <w:tcW w:type="dxa" w:w="210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Error: deny and audit</w:t>
            </w:r>
          </w:p>
        </w:tc>
      </w:tr>
      <w:tr>
        <w:trPr>
          <w:cantSplit/>
        </w:trPr>
        <w:tc>
          <w:tcPr>
            <w:tcW w:type="dxa" w:w="184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Reference integrity</w:t>
            </w:r>
          </w:p>
        </w:tc>
        <w:tc>
          <w:tcPr>
            <w:tcW w:type="dxa" w:w="636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Student/course/term/report/template/rule versions exist and are active for the cutoff</w:t>
            </w:r>
          </w:p>
        </w:tc>
        <w:tc>
          <w:tcPr>
            <w:tcW w:type="dxa" w:w="210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Error unless definition permits a controlled historical version</w:t>
            </w:r>
          </w:p>
        </w:tc>
      </w:tr>
      <w:tr>
        <w:trPr>
          <w:cantSplit/>
        </w:trPr>
        <w:tc>
          <w:tcPr>
            <w:tcW w:type="dxa" w:w="184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Data completeness</w:t>
            </w:r>
          </w:p>
        </w:tc>
        <w:tc>
          <w:tcPr>
            <w:tcW w:type="dxa" w:w="636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Required identifiers/dimensions present; grades posted; document status complete; missing-value thresholds</w:t>
            </w:r>
          </w:p>
        </w:tc>
        <w:tc>
          <w:tcPr>
            <w:tcW w:type="dxa" w:w="210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Error or warning by certified rule</w:t>
            </w:r>
          </w:p>
        </w:tc>
      </w:tr>
      <w:tr>
        <w:trPr>
          <w:cantSplit/>
        </w:trPr>
        <w:tc>
          <w:tcPr>
            <w:tcW w:type="dxa" w:w="184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Domain validity</w:t>
            </w:r>
          </w:p>
        </w:tc>
        <w:tc>
          <w:tcPr>
            <w:tcW w:type="dxa" w:w="636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Allowed statuses; grade ranges; dates/chronology; positive units; unique identities; graduation/honor eligibility</w:t>
            </w:r>
          </w:p>
        </w:tc>
        <w:tc>
          <w:tcPr>
            <w:tcW w:type="dxa" w:w="210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Error for material violations</w:t>
            </w:r>
          </w:p>
        </w:tc>
      </w:tr>
      <w:tr>
        <w:trPr>
          <w:cantSplit/>
        </w:trPr>
        <w:tc>
          <w:tcPr>
            <w:tcW w:type="dxa" w:w="184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Reconciliation</w:t>
            </w:r>
          </w:p>
        </w:tc>
        <w:tc>
          <w:tcPr>
            <w:tcW w:type="dxa" w:w="636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Detail to summary; source counts; numerator ≤ denominator; program subtotals; prior-period movement tolerance</w:t>
            </w:r>
          </w:p>
        </w:tc>
        <w:tc>
          <w:tcPr>
            <w:tcW w:type="dxa" w:w="210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Error or warning with evidence</w:t>
            </w:r>
          </w:p>
        </w:tc>
      </w:tr>
      <w:tr>
        <w:trPr>
          <w:cantSplit/>
        </w:trPr>
        <w:tc>
          <w:tcPr>
            <w:tcW w:type="dxa" w:w="184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Privacy/output</w:t>
            </w:r>
          </w:p>
        </w:tc>
        <w:tc>
          <w:tcPr>
            <w:tcW w:type="dxa" w:w="636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Minimum fields, redaction, formula injection, dangerous content, file type/size, watermark and recipient</w:t>
            </w:r>
          </w:p>
        </w:tc>
        <w:tc>
          <w:tcPr>
            <w:tcW w:type="dxa" w:w="210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Error: quarantine or reject</w:t>
            </w:r>
          </w:p>
        </w:tc>
      </w:tr>
      <w:tr>
        <w:trPr>
          <w:cantSplit/>
        </w:trPr>
        <w:tc>
          <w:tcPr>
            <w:tcW w:type="dxa" w:w="184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Regulatory</w:t>
            </w:r>
          </w:p>
        </w:tc>
        <w:tc>
          <w:tcPr>
            <w:tcW w:type="dxa" w:w="636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Required columns/order/format, period coverage, institution identifiers, signatory, due date and schema version</w:t>
            </w:r>
          </w:p>
        </w:tc>
        <w:tc>
          <w:tcPr>
            <w:tcW w:type="dxa" w:w="210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Error: cannot submit</w:t>
            </w:r>
          </w:p>
        </w:tc>
      </w:tr>
      <w:tr>
        <w:trPr>
          <w:cantSplit/>
        </w:trPr>
        <w:tc>
          <w:tcPr>
            <w:tcW w:type="dxa" w:w="184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Artifact integrity</w:t>
            </w:r>
          </w:p>
        </w:tc>
        <w:tc>
          <w:tcPr>
            <w:tcW w:type="dxa" w:w="636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Successful render, page count, accessibility, virus scan, checksum, manifest and digital signature where required</w:t>
            </w:r>
          </w:p>
        </w:tc>
        <w:tc>
          <w:tcPr>
            <w:tcW w:type="dxa" w:w="210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Error: cannot release</w:t>
            </w:r>
          </w:p>
        </w:tc>
      </w:tr>
      <w:tr>
        <w:trPr>
          <w:cantSplit/>
        </w:trPr>
        <w:tc>
          <w:tcPr>
            <w:tcW w:type="dxa" w:w="184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Operational</w:t>
            </w:r>
          </w:p>
        </w:tc>
        <w:tc>
          <w:tcPr>
            <w:tcW w:type="dxa" w:w="636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Freshness, job timeout, retry limit, storage availability and audit write success</w:t>
            </w:r>
          </w:p>
        </w:tc>
        <w:tc>
          <w:tcPr>
            <w:tcW w:type="dxa" w:w="210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Fail safely; alert operations</w:t>
            </w:r>
          </w:p>
        </w:tc>
      </w:tr>
    </w:tbl>
    <w:p>
      <w:pPr>
        <w:spacing w:after="0"/>
      </w:pPr>
    </w:p>
    <w:p>
      <w:pPr>
        <w:pStyle w:val="Heading2"/>
      </w:pPr>
      <w:r>
        <w:t>Exception and Override Rules</w:t>
      </w:r>
    </w:p>
    <w:p>
      <w:pPr>
        <w:pStyle w:val="ListBullet"/>
      </w:pPr>
      <w:r>
        <w:t>Blocking errors cannot be overridden unless the certified rule explicitly allows an override role and reason; regulatory schema errors are never waived for submission.</w:t>
      </w:r>
    </w:p>
    <w:p>
      <w:pPr>
        <w:pStyle w:val="ListBullet"/>
      </w:pPr>
      <w:r>
        <w:t>Warnings require acknowledgement and are included in the generation manifest.</w:t>
      </w:r>
    </w:p>
    <w:p>
      <w:pPr>
        <w:pStyle w:val="ListBullet"/>
      </w:pPr>
      <w:r>
        <w:t>Every override records the rule, observed value, actor, justification, evidence, approver and expiry/scope.</w:t>
      </w:r>
    </w:p>
    <w:p>
      <w:pPr>
        <w:pStyle w:val="ListBullet"/>
      </w:pPr>
      <w:r>
        <w:t>Correct source data when possible. A manual report adjustment must create a new version and cannot alter the source of record silently.</w:t>
      </w:r>
    </w:p>
    <w:p>
      <w:r>
        <w:br w:type="page"/>
      </w:r>
    </w:p>
    <w:p>
      <w:pPr>
        <w:pStyle w:val="Heading1"/>
      </w:pPr>
      <w:r>
        <w:t>Report and Dashboard Catalogue</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80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Domain</w:t>
            </w:r>
          </w:p>
        </w:tc>
        <w:tc>
          <w:tcPr>
            <w:tcW w:type="dxa" w:w="4608"/>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Initial reports / dashboards</w:t>
            </w:r>
          </w:p>
        </w:tc>
        <w:tc>
          <w:tcPr>
            <w:tcW w:type="dxa" w:w="390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Required certification focus</w:t>
            </w:r>
          </w:p>
        </w:tc>
      </w:tr>
      <w:tr>
        <w:trPr>
          <w:cantSplit/>
        </w:trPr>
        <w:tc>
          <w:tcPr>
            <w:tcW w:type="dxa" w:w="18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Enrollment</w:t>
            </w:r>
          </w:p>
        </w:tc>
        <w:tc>
          <w:tcPr>
            <w:tcW w:type="dxa" w:w="460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Enrollment roster; COR; program/term counts; trends; cancellation/waiver; LOA</w:t>
            </w:r>
          </w:p>
        </w:tc>
        <w:tc>
          <w:tcPr>
            <w:tcW w:type="dxa" w:w="390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Population status, effective dates, duplicate enrollment, course/term mapping</w:t>
            </w:r>
          </w:p>
        </w:tc>
      </w:tr>
      <w:tr>
        <w:trPr>
          <w:cantSplit/>
        </w:trPr>
        <w:tc>
          <w:tcPr>
            <w:tcW w:type="dxa" w:w="18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Academic</w:t>
            </w:r>
          </w:p>
        </w:tc>
        <w:tc>
          <w:tcPr>
            <w:tcW w:type="dxa" w:w="460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TOR; GWA; CWA; passing/failing; class lists; grade completeness</w:t>
            </w:r>
          </w:p>
        </w:tc>
        <w:tc>
          <w:tcPr>
            <w:tcW w:type="dxa" w:w="390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Posted grade state, units, exclusions, transmutation version, repeat/credit policy</w:t>
            </w:r>
          </w:p>
        </w:tc>
      </w:tr>
      <w:tr>
        <w:trPr>
          <w:cantSplit/>
        </w:trPr>
        <w:tc>
          <w:tcPr>
            <w:tcW w:type="dxa" w:w="18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Student records</w:t>
            </w:r>
          </w:p>
        </w:tc>
        <w:tc>
          <w:tcPr>
            <w:tcW w:type="dxa" w:w="460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Form 137-A monitoring; certifications; request turnaround; document completeness</w:t>
            </w:r>
          </w:p>
        </w:tc>
        <w:tc>
          <w:tcPr>
            <w:tcW w:type="dxa" w:w="390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Identity matching, issuance sequence, purpose, custody and retention</w:t>
            </w:r>
          </w:p>
        </w:tc>
      </w:tr>
      <w:tr>
        <w:trPr>
          <w:cantSplit/>
        </w:trPr>
        <w:tc>
          <w:tcPr>
            <w:tcW w:type="dxa" w:w="18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Graduation</w:t>
            </w:r>
          </w:p>
        </w:tc>
        <w:tc>
          <w:tcPr>
            <w:tcW w:type="dxa" w:w="460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Candidate and graduate lists; BOR/SO data; honors; account status</w:t>
            </w:r>
          </w:p>
        </w:tc>
        <w:tc>
          <w:tcPr>
            <w:tcW w:type="dxa" w:w="390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Eligibility, curriculum completion, dates, unique authorization numbers and approvals</w:t>
            </w:r>
          </w:p>
        </w:tc>
      </w:tr>
      <w:tr>
        <w:trPr>
          <w:cantSplit/>
        </w:trPr>
        <w:tc>
          <w:tcPr>
            <w:tcW w:type="dxa" w:w="18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Faculty and scheduling</w:t>
            </w:r>
          </w:p>
        </w:tc>
        <w:tc>
          <w:tcPr>
            <w:tcW w:type="dxa" w:w="460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Faculty load; section strength; room/schedule utilization</w:t>
            </w:r>
          </w:p>
        </w:tc>
        <w:tc>
          <w:tcPr>
            <w:tcW w:type="dxa" w:w="390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Assignment effective dates, workload rules, conflicts and organizational scope</w:t>
            </w:r>
          </w:p>
        </w:tc>
      </w:tr>
      <w:tr>
        <w:trPr>
          <w:cantSplit/>
        </w:trPr>
        <w:tc>
          <w:tcPr>
            <w:tcW w:type="dxa" w:w="18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Admissions</w:t>
            </w:r>
          </w:p>
        </w:tc>
        <w:tc>
          <w:tcPr>
            <w:tcW w:type="dxa" w:w="460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Applicant volume, exam outcomes, conversion funnel</w:t>
            </w:r>
          </w:p>
        </w:tc>
        <w:tc>
          <w:tcPr>
            <w:tcW w:type="dxa" w:w="390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Cycle population, status taxonomy, denominator and effective date</w:t>
            </w:r>
          </w:p>
        </w:tc>
      </w:tr>
      <w:tr>
        <w:trPr>
          <w:cantSplit/>
        </w:trPr>
        <w:tc>
          <w:tcPr>
            <w:tcW w:type="dxa" w:w="18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Compliance</w:t>
            </w:r>
          </w:p>
        </w:tc>
        <w:tc>
          <w:tcPr>
            <w:tcW w:type="dxa" w:w="460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CHED/UniFAST/NPC and other approved obligations</w:t>
            </w:r>
          </w:p>
        </w:tc>
        <w:tc>
          <w:tcPr>
            <w:tcW w:type="dxa" w:w="390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Agency schema/version, official due date, institution IDs, signatory and receipt</w:t>
            </w:r>
          </w:p>
        </w:tc>
      </w:tr>
      <w:tr>
        <w:trPr>
          <w:cantSplit/>
        </w:trPr>
        <w:tc>
          <w:tcPr>
            <w:tcW w:type="dxa" w:w="18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Executive dashboard</w:t>
            </w:r>
          </w:p>
        </w:tc>
        <w:tc>
          <w:tcPr>
            <w:tcW w:type="dxa" w:w="460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Certified enrollment, academic, service, compliance and operational-health KPIs</w:t>
            </w:r>
          </w:p>
        </w:tc>
        <w:tc>
          <w:tcPr>
            <w:tcW w:type="dxa" w:w="390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Owner, drill-through, freshness, quality, target/threshold and privacy</w:t>
            </w:r>
          </w:p>
        </w:tc>
      </w:tr>
    </w:tbl>
    <w:p>
      <w:pPr>
        <w:spacing w:after="0"/>
      </w:pPr>
    </w:p>
    <w:p>
      <w:pPr>
        <w:pStyle w:val="Heading2"/>
      </w:pPr>
      <w:r>
        <w:t>Certified Metric Definition Template</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1728"/>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Field</w:t>
            </w:r>
          </w:p>
        </w:tc>
        <w:tc>
          <w:tcPr>
            <w:tcW w:type="dxa" w:w="858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Required content</w:t>
            </w:r>
          </w:p>
        </w:tc>
      </w:tr>
      <w:tr>
        <w:trPr>
          <w:cantSplit/>
        </w:trPr>
        <w:tc>
          <w:tcPr>
            <w:tcW w:type="dxa" w:w="172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Identity</w:t>
            </w:r>
          </w:p>
        </w:tc>
        <w:tc>
          <w:tcPr>
            <w:tcW w:type="dxa" w:w="858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Metric code, name, owner, version, lifecycle state and effective dates</w:t>
            </w:r>
          </w:p>
        </w:tc>
      </w:tr>
      <w:tr>
        <w:trPr>
          <w:cantSplit/>
        </w:trPr>
        <w:tc>
          <w:tcPr>
            <w:tcW w:type="dxa" w:w="172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Meaning</w:t>
            </w:r>
          </w:p>
        </w:tc>
        <w:tc>
          <w:tcPr>
            <w:tcW w:type="dxa" w:w="858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Business question, precise population/grain, numerator, denominator, inclusions/exclusions and rounding</w:t>
            </w:r>
          </w:p>
        </w:tc>
      </w:tr>
      <w:tr>
        <w:trPr>
          <w:cantSplit/>
        </w:trPr>
        <w:tc>
          <w:tcPr>
            <w:tcW w:type="dxa" w:w="172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Time</w:t>
            </w:r>
          </w:p>
        </w:tc>
        <w:tc>
          <w:tcPr>
            <w:tcW w:type="dxa" w:w="858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Event date, school year/term mapping, as-of timezone, refresh cadence, lateness and restatement policy</w:t>
            </w:r>
          </w:p>
        </w:tc>
      </w:tr>
      <w:tr>
        <w:trPr>
          <w:cantSplit/>
        </w:trPr>
        <w:tc>
          <w:tcPr>
            <w:tcW w:type="dxa" w:w="172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Dimensions</w:t>
            </w:r>
          </w:p>
        </w:tc>
        <w:tc>
          <w:tcPr>
            <w:tcW w:type="dxa" w:w="858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Approved program, department, cohort, status and demographic breakdowns; small-cell suppression rules</w:t>
            </w:r>
          </w:p>
        </w:tc>
      </w:tr>
      <w:tr>
        <w:trPr>
          <w:cantSplit/>
        </w:trPr>
        <w:tc>
          <w:tcPr>
            <w:tcW w:type="dxa" w:w="172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Lineage</w:t>
            </w:r>
          </w:p>
        </w:tc>
        <w:tc>
          <w:tcPr>
            <w:tcW w:type="dxa" w:w="858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Source systems/tables/fields, transformation, join keys, quality rules and reconciliation query</w:t>
            </w:r>
          </w:p>
        </w:tc>
      </w:tr>
      <w:tr>
        <w:trPr>
          <w:cantSplit/>
        </w:trPr>
        <w:tc>
          <w:tcPr>
            <w:tcW w:type="dxa" w:w="172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Presentation</w:t>
            </w:r>
          </w:p>
        </w:tc>
        <w:tc>
          <w:tcPr>
            <w:tcW w:type="dxa" w:w="858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Unit, target, thresholds, colors, trend logic, no-data/stale/partial states, tooltip and accessible text</w:t>
            </w:r>
          </w:p>
        </w:tc>
      </w:tr>
      <w:tr>
        <w:trPr>
          <w:cantSplit/>
        </w:trPr>
        <w:tc>
          <w:tcPr>
            <w:tcW w:type="dxa" w:w="172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Security</w:t>
            </w:r>
          </w:p>
        </w:tc>
        <w:tc>
          <w:tcPr>
            <w:tcW w:type="dxa" w:w="858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Classification, roles, row/column policy, export restriction and audit requirement</w:t>
            </w:r>
          </w:p>
        </w:tc>
      </w:tr>
      <w:tr>
        <w:trPr>
          <w:cantSplit/>
        </w:trPr>
        <w:tc>
          <w:tcPr>
            <w:tcW w:type="dxa" w:w="172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Testing</w:t>
            </w:r>
          </w:p>
        </w:tc>
        <w:tc>
          <w:tcPr>
            <w:tcW w:type="dxa" w:w="858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Golden dataset, boundary cases, expected values, tolerance, performance and owner approval</w:t>
            </w:r>
          </w:p>
        </w:tc>
      </w:tr>
    </w:tbl>
    <w:p>
      <w:pPr>
        <w:spacing w:after="0"/>
      </w:pPr>
    </w:p>
    <w:p>
      <w:pPr>
        <w:pStyle w:val="Heading2"/>
      </w:pPr>
      <w:r>
        <w:t>Recommended Dashboard KPI Definitions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90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KPI</w:t>
            </w:r>
          </w:p>
        </w:tc>
        <w:tc>
          <w:tcPr>
            <w:tcW w:type="dxa" w:w="5889"/>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Definition requirement</w:t>
            </w:r>
          </w:p>
        </w:tc>
        <w:tc>
          <w:tcPr>
            <w:tcW w:type="dxa" w:w="252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Quality/freshness control</w:t>
            </w:r>
          </w:p>
        </w:tc>
      </w:tr>
      <w:tr>
        <w:trPr>
          <w:cantSplit/>
        </w:trPr>
        <w:tc>
          <w:tcPr>
            <w:tcW w:type="dxa" w:w="19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Active students</w:t>
            </w:r>
          </w:p>
        </w:tc>
        <w:tc>
          <w:tcPr>
            <w:tcW w:type="dxa" w:w="588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Distinct students with an effective enrolled status in the selected certified term</w:t>
            </w:r>
          </w:p>
        </w:tc>
        <w:tc>
          <w:tcPr>
            <w:tcW w:type="dxa" w:w="252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Daily or event-based; reconcile to registrar enrollment ledger</w:t>
            </w:r>
          </w:p>
        </w:tc>
      </w:tr>
      <w:tr>
        <w:trPr>
          <w:cantSplit/>
        </w:trPr>
        <w:tc>
          <w:tcPr>
            <w:tcW w:type="dxa" w:w="19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Applicants</w:t>
            </w:r>
          </w:p>
        </w:tc>
        <w:tc>
          <w:tcPr>
            <w:tcW w:type="dxa" w:w="588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Distinct applications in the selected admissions cycle by current status</w:t>
            </w:r>
          </w:p>
        </w:tc>
        <w:tc>
          <w:tcPr>
            <w:tcW w:type="dxa" w:w="252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Show cycle and as-of; statuses must exhaust population</w:t>
            </w:r>
          </w:p>
        </w:tc>
      </w:tr>
      <w:tr>
        <w:trPr>
          <w:cantSplit/>
        </w:trPr>
        <w:tc>
          <w:tcPr>
            <w:tcW w:type="dxa" w:w="19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Exam pass rate</w:t>
            </w:r>
          </w:p>
        </w:tc>
        <w:tc>
          <w:tcPr>
            <w:tcW w:type="dxa" w:w="588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Passed applicants divided by applicants with a finalized exam outcome; pending excluded and shown separately</w:t>
            </w:r>
          </w:p>
        </w:tc>
        <w:tc>
          <w:tcPr>
            <w:tcW w:type="dxa" w:w="252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Denominator displayed; finalized status completeness</w:t>
            </w:r>
          </w:p>
        </w:tc>
      </w:tr>
      <w:tr>
        <w:trPr>
          <w:cantSplit/>
        </w:trPr>
        <w:tc>
          <w:tcPr>
            <w:tcW w:type="dxa" w:w="19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Graduates</w:t>
            </w:r>
          </w:p>
        </w:tc>
        <w:tc>
          <w:tcPr>
            <w:tcW w:type="dxa" w:w="588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Distinct students with approved graduate tag and graduation period</w:t>
            </w:r>
          </w:p>
        </w:tc>
        <w:tc>
          <w:tcPr>
            <w:tcW w:type="dxa" w:w="252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BOR/SO/approval completeness; period-specific by default</w:t>
            </w:r>
          </w:p>
        </w:tc>
      </w:tr>
      <w:tr>
        <w:trPr>
          <w:cantSplit/>
        </w:trPr>
        <w:tc>
          <w:tcPr>
            <w:tcW w:type="dxa" w:w="19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Faculty FTE/headcount</w:t>
            </w:r>
          </w:p>
        </w:tc>
        <w:tc>
          <w:tcPr>
            <w:tcW w:type="dxa" w:w="588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Distinct active faculty; employment classification or workload-based FTE defined separately</w:t>
            </w:r>
          </w:p>
        </w:tc>
        <w:tc>
          <w:tcPr>
            <w:tcW w:type="dxa" w:w="252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Unknown type visible; HR reconciliation</w:t>
            </w:r>
          </w:p>
        </w:tc>
      </w:tr>
      <w:tr>
        <w:trPr>
          <w:cantSplit/>
        </w:trPr>
        <w:tc>
          <w:tcPr>
            <w:tcW w:type="dxa" w:w="19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Enrollment trend</w:t>
            </w:r>
          </w:p>
        </w:tc>
        <w:tc>
          <w:tcPr>
            <w:tcW w:type="dxa" w:w="588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Count by certified enrollment effective event/date and consistent term/cycle</w:t>
            </w:r>
          </w:p>
        </w:tc>
        <w:tc>
          <w:tcPr>
            <w:tcW w:type="dxa" w:w="252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No synthetic series; annotate policy/data changes</w:t>
            </w:r>
          </w:p>
        </w:tc>
      </w:tr>
      <w:tr>
        <w:trPr>
          <w:cantSplit/>
        </w:trPr>
        <w:tc>
          <w:tcPr>
            <w:tcW w:type="dxa" w:w="190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Grade completeness</w:t>
            </w:r>
          </w:p>
        </w:tc>
        <w:tc>
          <w:tcPr>
            <w:tcW w:type="dxa" w:w="588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Posted final grades / expected grade records for closed grading scope</w:t>
            </w:r>
          </w:p>
        </w:tc>
        <w:tc>
          <w:tcPr>
            <w:tcW w:type="dxa" w:w="252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Late/missing counts and owners displayed</w:t>
            </w:r>
          </w:p>
        </w:tc>
      </w:tr>
      <w:tr>
        <w:trPr>
          <w:cantSplit/>
        </w:trPr>
        <w:tc>
          <w:tcPr>
            <w:tcW w:type="dxa" w:w="190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Compliance readiness</w:t>
            </w:r>
          </w:p>
        </w:tc>
        <w:tc>
          <w:tcPr>
            <w:tcW w:type="dxa" w:w="588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Obligations due in window by validated/approved/submitted/acknowledged state</w:t>
            </w:r>
          </w:p>
        </w:tc>
        <w:tc>
          <w:tcPr>
            <w:tcW w:type="dxa" w:w="252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Due dates verified from official source and review timestamp shown</w:t>
            </w:r>
          </w:p>
        </w:tc>
      </w:tr>
    </w:tbl>
    <w:p>
      <w:pPr>
        <w:spacing w:after="0"/>
      </w:pPr>
    </w:p>
    <w:p>
      <w:r>
        <w:br w:type="page"/>
      </w:r>
    </w:p>
    <w:p>
      <w:pPr>
        <w:pStyle w:val="Heading1"/>
      </w:pPr>
      <w:r>
        <w:t>Target Data Model</w:t>
      </w:r>
    </w:p>
    <w:p>
      <w:pPr>
        <w:pStyle w:val="BodyText"/>
      </w:pPr>
      <w:r>
        <w:t>The tables below are logical target entities. Physical naming, types, partitioning and engine choices must follow the approved PLP data standard. Foreign keys use surrogate IDs while public identifiers use non-sequential opaque values.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203"/>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2"/>
              </w:rPr>
              <w:t>Entity</w:t>
            </w:r>
          </w:p>
        </w:tc>
        <w:tc>
          <w:tcPr>
            <w:tcW w:type="dxa" w:w="3168"/>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2"/>
              </w:rPr>
              <w:t>Purpose</w:t>
            </w:r>
          </w:p>
        </w:tc>
        <w:tc>
          <w:tcPr>
            <w:tcW w:type="dxa" w:w="4939"/>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2"/>
              </w:rPr>
              <w:t>Key fields / relationships</w:t>
            </w:r>
          </w:p>
        </w:tc>
      </w:tr>
      <w:tr>
        <w:trPr>
          <w:cantSplit/>
        </w:trPr>
        <w:tc>
          <w:tcPr>
            <w:tcW w:type="dxa" w:w="22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report_definitions</w:t>
            </w:r>
          </w:p>
        </w:tc>
        <w:tc>
          <w:tcPr>
            <w:tcW w:type="dxa" w:w="31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Versioned report catalogue</w:t>
            </w:r>
          </w:p>
        </w:tc>
        <w:tc>
          <w:tcPr>
            <w:tcW w:type="dxa" w:w="493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id, code, name, owner_id, classification, lifecycle_status, effective_from/to, current_version_id</w:t>
            </w:r>
          </w:p>
        </w:tc>
      </w:tr>
      <w:tr>
        <w:trPr>
          <w:cantSplit/>
        </w:trPr>
        <w:tc>
          <w:tcPr>
            <w:tcW w:type="dxa" w:w="22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report_definition_versions</w:t>
            </w:r>
          </w:p>
        </w:tc>
        <w:tc>
          <w:tcPr>
            <w:tcW w:type="dxa" w:w="316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Immutable execution contract</w:t>
            </w:r>
          </w:p>
        </w:tc>
        <w:tc>
          <w:tcPr>
            <w:tcW w:type="dxa" w:w="493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definition_id, version, parameter_schema_json, dataset_contract_id, approval_policy_id, allowed_formats, checksum</w:t>
            </w:r>
          </w:p>
        </w:tc>
      </w:tr>
      <w:tr>
        <w:trPr>
          <w:cantSplit/>
        </w:trPr>
        <w:tc>
          <w:tcPr>
            <w:tcW w:type="dxa" w:w="22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report_templates</w:t>
            </w:r>
          </w:p>
        </w:tc>
        <w:tc>
          <w:tcPr>
            <w:tcW w:type="dxa" w:w="31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Versioned output templates</w:t>
            </w:r>
          </w:p>
        </w:tc>
        <w:tc>
          <w:tcPr>
            <w:tcW w:type="dxa" w:w="493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definition_version_id, format, storage_key, version, checksum, accessibility_status, active dates</w:t>
            </w:r>
          </w:p>
        </w:tc>
      </w:tr>
      <w:tr>
        <w:trPr>
          <w:cantSplit/>
        </w:trPr>
        <w:tc>
          <w:tcPr>
            <w:tcW w:type="dxa" w:w="22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report_requests</w:t>
            </w:r>
          </w:p>
        </w:tc>
        <w:tc>
          <w:tcPr>
            <w:tcW w:type="dxa" w:w="316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User request and purpose</w:t>
            </w:r>
          </w:p>
        </w:tc>
        <w:tc>
          <w:tcPr>
            <w:tcW w:type="dxa" w:w="493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id/public_id, definition_version_id, requester_id, purpose_code, parameters_json, requested_at, status, idempotency_key</w:t>
            </w:r>
          </w:p>
        </w:tc>
      </w:tr>
      <w:tr>
        <w:trPr>
          <w:cantSplit/>
        </w:trPr>
        <w:tc>
          <w:tcPr>
            <w:tcW w:type="dxa" w:w="22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report_generations</w:t>
            </w:r>
          </w:p>
        </w:tc>
        <w:tc>
          <w:tcPr>
            <w:tcW w:type="dxa" w:w="31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Execution instance</w:t>
            </w:r>
          </w:p>
        </w:tc>
        <w:tc>
          <w:tcPr>
            <w:tcW w:type="dxa" w:w="493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request_id, attempt, cutoff_at, started/completed_at, status, row_count, rule/template versions, correlation_id</w:t>
            </w:r>
          </w:p>
        </w:tc>
      </w:tr>
      <w:tr>
        <w:trPr>
          <w:cantSplit/>
        </w:trPr>
        <w:tc>
          <w:tcPr>
            <w:tcW w:type="dxa" w:w="22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report_generation_scopes</w:t>
            </w:r>
          </w:p>
        </w:tc>
        <w:tc>
          <w:tcPr>
            <w:tcW w:type="dxa" w:w="316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Resolved row/organization scope</w:t>
            </w:r>
          </w:p>
        </w:tc>
        <w:tc>
          <w:tcPr>
            <w:tcW w:type="dxa" w:w="493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generation_id, scope_type, scope_key/value, policy_version</w:t>
            </w:r>
          </w:p>
        </w:tc>
      </w:tr>
      <w:tr>
        <w:trPr>
          <w:cantSplit/>
        </w:trPr>
        <w:tc>
          <w:tcPr>
            <w:tcW w:type="dxa" w:w="22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report_validation_results</w:t>
            </w:r>
          </w:p>
        </w:tc>
        <w:tc>
          <w:tcPr>
            <w:tcW w:type="dxa" w:w="31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Rule evidence</w:t>
            </w:r>
          </w:p>
        </w:tc>
        <w:tc>
          <w:tcPr>
            <w:tcW w:type="dxa" w:w="493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generation_id, rule_version_id, severity, status, observed/expected, affected_count, evidence_key</w:t>
            </w:r>
          </w:p>
        </w:tc>
      </w:tr>
      <w:tr>
        <w:trPr>
          <w:cantSplit/>
        </w:trPr>
        <w:tc>
          <w:tcPr>
            <w:tcW w:type="dxa" w:w="22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report_exceptions</w:t>
            </w:r>
          </w:p>
        </w:tc>
        <w:tc>
          <w:tcPr>
            <w:tcW w:type="dxa" w:w="316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Resolution or override</w:t>
            </w:r>
          </w:p>
        </w:tc>
        <w:tc>
          <w:tcPr>
            <w:tcW w:type="dxa" w:w="493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validation_result_id, reason, actor_id, approver_id, evidence, expires_at, status</w:t>
            </w:r>
          </w:p>
        </w:tc>
      </w:tr>
      <w:tr>
        <w:trPr>
          <w:cantSplit/>
        </w:trPr>
        <w:tc>
          <w:tcPr>
            <w:tcW w:type="dxa" w:w="22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report_approvals</w:t>
            </w:r>
          </w:p>
        </w:tc>
        <w:tc>
          <w:tcPr>
            <w:tcW w:type="dxa" w:w="31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Workflow decisions</w:t>
            </w:r>
          </w:p>
        </w:tc>
        <w:tc>
          <w:tcPr>
            <w:tcW w:type="dxa" w:w="493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generation_id, step, approver_id, decision, reason, decided_at, signature_reference</w:t>
            </w:r>
          </w:p>
        </w:tc>
      </w:tr>
      <w:tr>
        <w:trPr>
          <w:cantSplit/>
        </w:trPr>
        <w:tc>
          <w:tcPr>
            <w:tcW w:type="dxa" w:w="22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report_artifacts</w:t>
            </w:r>
          </w:p>
        </w:tc>
        <w:tc>
          <w:tcPr>
            <w:tcW w:type="dxa" w:w="316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Released/provisional files</w:t>
            </w:r>
          </w:p>
        </w:tc>
        <w:tc>
          <w:tcPr>
            <w:tcW w:type="dxa" w:w="493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generation_id, format, storage_key, size, checksum, classification, expires_at, status, supersedes_id</w:t>
            </w:r>
          </w:p>
        </w:tc>
      </w:tr>
      <w:tr>
        <w:trPr>
          <w:cantSplit/>
        </w:trPr>
        <w:tc>
          <w:tcPr>
            <w:tcW w:type="dxa" w:w="22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report_deliveries</w:t>
            </w:r>
          </w:p>
        </w:tc>
        <w:tc>
          <w:tcPr>
            <w:tcW w:type="dxa" w:w="31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Download/transmission history</w:t>
            </w:r>
          </w:p>
        </w:tc>
        <w:tc>
          <w:tcPr>
            <w:tcW w:type="dxa" w:w="493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artifact_id, channel, recipient, initiated_by, delivered_at, acknowledgement, status</w:t>
            </w:r>
          </w:p>
        </w:tc>
      </w:tr>
      <w:tr>
        <w:trPr>
          <w:cantSplit/>
        </w:trPr>
        <w:tc>
          <w:tcPr>
            <w:tcW w:type="dxa" w:w="22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metric_definitions</w:t>
            </w:r>
          </w:p>
        </w:tc>
        <w:tc>
          <w:tcPr>
            <w:tcW w:type="dxa" w:w="316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Versioned certified KPI</w:t>
            </w:r>
          </w:p>
        </w:tc>
        <w:tc>
          <w:tcPr>
            <w:tcW w:type="dxa" w:w="493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code, owner_id, formula, grain, period_rule, source contract, classification, lifecycle</w:t>
            </w:r>
          </w:p>
        </w:tc>
      </w:tr>
      <w:tr>
        <w:trPr>
          <w:cantSplit/>
        </w:trPr>
        <w:tc>
          <w:tcPr>
            <w:tcW w:type="dxa" w:w="22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metric_snapshots</w:t>
            </w:r>
          </w:p>
        </w:tc>
        <w:tc>
          <w:tcPr>
            <w:tcW w:type="dxa" w:w="31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Published metric facts</w:t>
            </w:r>
          </w:p>
        </w:tc>
        <w:tc>
          <w:tcPr>
            <w:tcW w:type="dxa" w:w="493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metric_version_id, as_of_at, period_id, dimension_hash/json, value, numerator, denominator, quality_status</w:t>
            </w:r>
          </w:p>
        </w:tc>
      </w:tr>
      <w:tr>
        <w:trPr>
          <w:cantSplit/>
        </w:trPr>
        <w:tc>
          <w:tcPr>
            <w:tcW w:type="dxa" w:w="22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dashboard_definitions</w:t>
            </w:r>
          </w:p>
        </w:tc>
        <w:tc>
          <w:tcPr>
            <w:tcW w:type="dxa" w:w="316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Dashboard catalogue</w:t>
            </w:r>
          </w:p>
        </w:tc>
        <w:tc>
          <w:tcPr>
            <w:tcW w:type="dxa" w:w="493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code, owner_id, audience, lifecycle, default_period_policy</w:t>
            </w:r>
          </w:p>
        </w:tc>
      </w:tr>
      <w:tr>
        <w:trPr>
          <w:cantSplit/>
        </w:trPr>
        <w:tc>
          <w:tcPr>
            <w:tcW w:type="dxa" w:w="22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dashboard_widgets</w:t>
            </w:r>
          </w:p>
        </w:tc>
        <w:tc>
          <w:tcPr>
            <w:tcW w:type="dxa" w:w="31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Layout and metric binding</w:t>
            </w:r>
          </w:p>
        </w:tc>
        <w:tc>
          <w:tcPr>
            <w:tcW w:type="dxa" w:w="493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dashboard_version_id, metric_version_id, visualization, position, filters, threshold_set_id</w:t>
            </w:r>
          </w:p>
        </w:tc>
      </w:tr>
      <w:tr>
        <w:trPr>
          <w:cantSplit/>
        </w:trPr>
        <w:tc>
          <w:tcPr>
            <w:tcW w:type="dxa" w:w="22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data_refresh_runs</w:t>
            </w:r>
          </w:p>
        </w:tc>
        <w:tc>
          <w:tcPr>
            <w:tcW w:type="dxa" w:w="316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Pipeline/run observability</w:t>
            </w:r>
          </w:p>
        </w:tc>
        <w:tc>
          <w:tcPr>
            <w:tcW w:type="dxa" w:w="493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dataset/metric version, cutoff, started/completed, rows, quality status, lineage reference</w:t>
            </w:r>
          </w:p>
        </w:tc>
      </w:tr>
      <w:tr>
        <w:trPr>
          <w:cantSplit/>
        </w:trPr>
        <w:tc>
          <w:tcPr>
            <w:tcW w:type="dxa" w:w="22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regulatory_obligations</w:t>
            </w:r>
          </w:p>
        </w:tc>
        <w:tc>
          <w:tcPr>
            <w:tcW w:type="dxa" w:w="31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Verified obligation register</w:t>
            </w:r>
          </w:p>
        </w:tc>
        <w:tc>
          <w:tcPr>
            <w:tcW w:type="dxa" w:w="493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agency, code, authority_reference, owner, cadence, due_rule, effective dates, review_at</w:t>
            </w:r>
          </w:p>
        </w:tc>
      </w:tr>
      <w:tr>
        <w:trPr>
          <w:cantSplit/>
        </w:trPr>
        <w:tc>
          <w:tcPr>
            <w:tcW w:type="dxa" w:w="22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regulatory_submissions</w:t>
            </w:r>
          </w:p>
        </w:tc>
        <w:tc>
          <w:tcPr>
            <w:tcW w:type="dxa" w:w="316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Filing package and receipt</w:t>
            </w:r>
          </w:p>
        </w:tc>
        <w:tc>
          <w:tcPr>
            <w:tcW w:type="dxa" w:w="493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obligation_id, period, generation_id, signatory, submitted_at, channel, acknowledgement, status</w:t>
            </w:r>
          </w:p>
        </w:tc>
      </w:tr>
      <w:tr>
        <w:trPr>
          <w:cantSplit/>
        </w:trPr>
        <w:tc>
          <w:tcPr>
            <w:tcW w:type="dxa" w:w="22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audit_events</w:t>
            </w:r>
          </w:p>
        </w:tc>
        <w:tc>
          <w:tcPr>
            <w:tcW w:type="dxa" w:w="31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Append-only control trail</w:t>
            </w:r>
          </w:p>
        </w:tc>
        <w:tc>
          <w:tcPr>
            <w:tcW w:type="dxa" w:w="493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2"/>
              </w:rPr>
              <w:t>actor, action, object type/id, purpose, before/after reference, occurred_at, correlation_id, integrity chain</w:t>
            </w:r>
          </w:p>
        </w:tc>
      </w:tr>
    </w:tbl>
    <w:p>
      <w:pPr>
        <w:spacing w:after="0"/>
      </w:pPr>
    </w:p>
    <w:p>
      <w:pPr>
        <w:pStyle w:val="Heading2"/>
      </w:pPr>
      <w:r>
        <w:t>Core Relationship Map</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880"/>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Parent</w:t>
            </w:r>
          </w:p>
        </w:tc>
        <w:tc>
          <w:tcPr>
            <w:tcW w:type="dxa" w:w="335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Relationship</w:t>
            </w:r>
          </w:p>
        </w:tc>
        <w:tc>
          <w:tcPr>
            <w:tcW w:type="dxa" w:w="407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Child / result</w:t>
            </w:r>
          </w:p>
        </w:tc>
      </w:tr>
      <w:tr>
        <w:trPr>
          <w:cantSplit/>
        </w:trPr>
        <w:tc>
          <w:tcPr>
            <w:tcW w:type="dxa" w:w="288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report_definitions</w:t>
            </w:r>
          </w:p>
        </w:tc>
        <w:tc>
          <w:tcPr>
            <w:tcW w:type="dxa" w:w="33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1 → many immutable versions</w:t>
            </w:r>
          </w:p>
        </w:tc>
        <w:tc>
          <w:tcPr>
            <w:tcW w:type="dxa" w:w="407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report_definition_versions</w:t>
            </w:r>
          </w:p>
        </w:tc>
      </w:tr>
      <w:tr>
        <w:trPr>
          <w:cantSplit/>
        </w:trPr>
        <w:tc>
          <w:tcPr>
            <w:tcW w:type="dxa" w:w="288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report_definition_versions</w:t>
            </w:r>
          </w:p>
        </w:tc>
        <w:tc>
          <w:tcPr>
            <w:tcW w:type="dxa" w:w="335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1 → many requests and templates</w:t>
            </w:r>
          </w:p>
        </w:tc>
        <w:tc>
          <w:tcPr>
            <w:tcW w:type="dxa" w:w="407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report_requests; report_templates</w:t>
            </w:r>
          </w:p>
        </w:tc>
      </w:tr>
      <w:tr>
        <w:trPr>
          <w:cantSplit/>
        </w:trPr>
        <w:tc>
          <w:tcPr>
            <w:tcW w:type="dxa" w:w="288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report_requests</w:t>
            </w:r>
          </w:p>
        </w:tc>
        <w:tc>
          <w:tcPr>
            <w:tcW w:type="dxa" w:w="33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1 → many attempts</w:t>
            </w:r>
          </w:p>
        </w:tc>
        <w:tc>
          <w:tcPr>
            <w:tcW w:type="dxa" w:w="407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report_generations</w:t>
            </w:r>
          </w:p>
        </w:tc>
      </w:tr>
      <w:tr>
        <w:trPr>
          <w:cantSplit/>
        </w:trPr>
        <w:tc>
          <w:tcPr>
            <w:tcW w:type="dxa" w:w="288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report_generations</w:t>
            </w:r>
          </w:p>
        </w:tc>
        <w:tc>
          <w:tcPr>
            <w:tcW w:type="dxa" w:w="335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1 → many</w:t>
            </w:r>
          </w:p>
        </w:tc>
        <w:tc>
          <w:tcPr>
            <w:tcW w:type="dxa" w:w="407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scopes; validation results; approvals; artifacts</w:t>
            </w:r>
          </w:p>
        </w:tc>
      </w:tr>
      <w:tr>
        <w:trPr>
          <w:cantSplit/>
        </w:trPr>
        <w:tc>
          <w:tcPr>
            <w:tcW w:type="dxa" w:w="288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report_validation_results</w:t>
            </w:r>
          </w:p>
        </w:tc>
        <w:tc>
          <w:tcPr>
            <w:tcW w:type="dxa" w:w="33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0/1 → many controlled resolutions</w:t>
            </w:r>
          </w:p>
        </w:tc>
        <w:tc>
          <w:tcPr>
            <w:tcW w:type="dxa" w:w="407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report_exceptions</w:t>
            </w:r>
          </w:p>
        </w:tc>
      </w:tr>
      <w:tr>
        <w:trPr>
          <w:cantSplit/>
        </w:trPr>
        <w:tc>
          <w:tcPr>
            <w:tcW w:type="dxa" w:w="288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report_artifacts</w:t>
            </w:r>
          </w:p>
        </w:tc>
        <w:tc>
          <w:tcPr>
            <w:tcW w:type="dxa" w:w="335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1 → many distribution events; optional supersession chain</w:t>
            </w:r>
          </w:p>
        </w:tc>
        <w:tc>
          <w:tcPr>
            <w:tcW w:type="dxa" w:w="407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report_deliveries; report_artifacts.supersedes_id</w:t>
            </w:r>
          </w:p>
        </w:tc>
      </w:tr>
      <w:tr>
        <w:trPr>
          <w:cantSplit/>
        </w:trPr>
        <w:tc>
          <w:tcPr>
            <w:tcW w:type="dxa" w:w="288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metric_definitions</w:t>
            </w:r>
          </w:p>
        </w:tc>
        <w:tc>
          <w:tcPr>
            <w:tcW w:type="dxa" w:w="33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1 → many versions/snapshots</w:t>
            </w:r>
          </w:p>
        </w:tc>
        <w:tc>
          <w:tcPr>
            <w:tcW w:type="dxa" w:w="407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metric_snapshots</w:t>
            </w:r>
          </w:p>
        </w:tc>
      </w:tr>
      <w:tr>
        <w:trPr>
          <w:cantSplit/>
        </w:trPr>
        <w:tc>
          <w:tcPr>
            <w:tcW w:type="dxa" w:w="2880"/>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dashboard_definitions</w:t>
            </w:r>
          </w:p>
        </w:tc>
        <w:tc>
          <w:tcPr>
            <w:tcW w:type="dxa" w:w="335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1 → many widgets that bind certified metric versions</w:t>
            </w:r>
          </w:p>
        </w:tc>
        <w:tc>
          <w:tcPr>
            <w:tcW w:type="dxa" w:w="407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dashboard_widgets</w:t>
            </w:r>
          </w:p>
        </w:tc>
      </w:tr>
      <w:tr>
        <w:trPr>
          <w:cantSplit/>
        </w:trPr>
        <w:tc>
          <w:tcPr>
            <w:tcW w:type="dxa" w:w="2880"/>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regulatory_obligations</w:t>
            </w:r>
          </w:p>
        </w:tc>
        <w:tc>
          <w:tcPr>
            <w:tcW w:type="dxa" w:w="335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1 → many period submissions linked to approved generation</w:t>
            </w:r>
          </w:p>
        </w:tc>
        <w:tc>
          <w:tcPr>
            <w:tcW w:type="dxa" w:w="407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regulatory_submissions</w:t>
            </w:r>
          </w:p>
        </w:tc>
      </w:tr>
    </w:tbl>
    <w:p>
      <w:pPr>
        <w:spacing w:after="0"/>
      </w:pPr>
    </w:p>
    <w:p>
      <w:pPr>
        <w:pStyle w:val="Heading2"/>
      </w:pPr>
      <w:r>
        <w:t>Data Constraints and Indexes</w:t>
      </w:r>
    </w:p>
    <w:p>
      <w:pPr>
        <w:pStyle w:val="ListBullet"/>
      </w:pPr>
      <w:r>
        <w:t>Unique: report definition code + version; template format + version; request idempotency key per requester; one published metric snapshot per metric version/as-of/period/dimension hash; obligation code + effective version.</w:t>
      </w:r>
    </w:p>
    <w:p>
      <w:pPr>
        <w:pStyle w:val="ListBullet"/>
      </w:pPr>
      <w:r>
        <w:t>Foreign keys restrict deletion of released evidence; lifecycle uses retirement/tombstone, not destructive removal.</w:t>
      </w:r>
    </w:p>
    <w:p>
      <w:pPr>
        <w:pStyle w:val="ListBullet"/>
      </w:pPr>
      <w:r>
        <w:t>Indexes: generation status/created_at, requester/status, definition/period, validation generation/severity/status, artifact expiry/status, metric version/as-of/dimension, obligation/due/status, audit object/occurred_at and correlation ID.</w:t>
      </w:r>
    </w:p>
    <w:p>
      <w:pPr>
        <w:pStyle w:val="ListBullet"/>
      </w:pPr>
      <w:r>
        <w:t>Partition high-volume snapshots/audit by date only after measurement. Encrypt sensitive JSON/evidence fields and avoid putting secrets or direct identifiers in dimension JSON.</w:t>
      </w:r>
    </w:p>
    <w:p>
      <w:r>
        <w:br w:type="page"/>
      </w:r>
    </w:p>
    <w:p>
      <w:pPr>
        <w:pStyle w:val="Heading1"/>
      </w:pPr>
      <w:r>
        <w:t>Security and Privacy Requirements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756"/>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Control</w:t>
            </w:r>
          </w:p>
        </w:tc>
        <w:tc>
          <w:tcPr>
            <w:tcW w:type="dxa" w:w="6206"/>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Requirement</w:t>
            </w:r>
          </w:p>
        </w:tc>
        <w:tc>
          <w:tcPr>
            <w:tcW w:type="dxa" w:w="2347"/>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3"/>
              </w:rPr>
              <w:t>Acceptance evidence</w:t>
            </w:r>
          </w:p>
        </w:tc>
      </w:tr>
      <w:tr>
        <w:trPr>
          <w:cantSplit/>
        </w:trPr>
        <w:tc>
          <w:tcPr>
            <w:tcW w:type="dxa" w:w="175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Authentication</w:t>
            </w:r>
          </w:p>
        </w:tc>
        <w:tc>
          <w:tcPr>
            <w:tcW w:type="dxa" w:w="620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Institutional SSO/session controls; MFA for approvals, regulatory submissions and high-risk exports</w:t>
            </w:r>
          </w:p>
        </w:tc>
        <w:tc>
          <w:tcPr>
            <w:tcW w:type="dxa" w:w="234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Authentication and step-up test</w:t>
            </w:r>
          </w:p>
        </w:tc>
      </w:tr>
      <w:tr>
        <w:trPr>
          <w:cantSplit/>
        </w:trPr>
        <w:tc>
          <w:tcPr>
            <w:tcW w:type="dxa" w:w="175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Authorization</w:t>
            </w:r>
          </w:p>
        </w:tc>
        <w:tc>
          <w:tcPr>
            <w:tcW w:type="dxa" w:w="620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RBAC plus organization/course/student row scope, column classification, purpose and action; default deny</w:t>
            </w:r>
          </w:p>
        </w:tc>
        <w:tc>
          <w:tcPr>
            <w:tcW w:type="dxa" w:w="234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Policy matrix and direct-object tests</w:t>
            </w:r>
          </w:p>
        </w:tc>
      </w:tr>
      <w:tr>
        <w:trPr>
          <w:cantSplit/>
        </w:trPr>
        <w:tc>
          <w:tcPr>
            <w:tcW w:type="dxa" w:w="175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Segregation</w:t>
            </w:r>
          </w:p>
        </w:tc>
        <w:tc>
          <w:tcPr>
            <w:tcW w:type="dxa" w:w="620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Requestor/preparer cannot approve own high-risk official report; signatory authority is effective-dated</w:t>
            </w:r>
          </w:p>
        </w:tc>
        <w:tc>
          <w:tcPr>
            <w:tcW w:type="dxa" w:w="234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Workflow test and authority record</w:t>
            </w:r>
          </w:p>
        </w:tc>
      </w:tr>
      <w:tr>
        <w:trPr>
          <w:cantSplit/>
        </w:trPr>
        <w:tc>
          <w:tcPr>
            <w:tcW w:type="dxa" w:w="175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Data minimization</w:t>
            </w:r>
          </w:p>
        </w:tc>
        <w:tc>
          <w:tcPr>
            <w:tcW w:type="dxa" w:w="620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Definition specifies required fields; redaction/masking and small-cell suppression applied before rendering</w:t>
            </w:r>
          </w:p>
        </w:tc>
        <w:tc>
          <w:tcPr>
            <w:tcW w:type="dxa" w:w="234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Output inspection and privacy review</w:t>
            </w:r>
          </w:p>
        </w:tc>
      </w:tr>
      <w:tr>
        <w:trPr>
          <w:cantSplit/>
        </w:trPr>
        <w:tc>
          <w:tcPr>
            <w:tcW w:type="dxa" w:w="175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Secure delivery</w:t>
            </w:r>
          </w:p>
        </w:tc>
        <w:tc>
          <w:tcPr>
            <w:tcW w:type="dxa" w:w="620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TLS, short-lived signed link, reauthorization, download count/expiry, no sensitive email attachments by default</w:t>
            </w:r>
          </w:p>
        </w:tc>
        <w:tc>
          <w:tcPr>
            <w:tcW w:type="dxa" w:w="234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Penetration and expiry tests</w:t>
            </w:r>
          </w:p>
        </w:tc>
      </w:tr>
      <w:tr>
        <w:trPr>
          <w:cantSplit/>
        </w:trPr>
        <w:tc>
          <w:tcPr>
            <w:tcW w:type="dxa" w:w="175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Encryption</w:t>
            </w:r>
          </w:p>
        </w:tc>
        <w:tc>
          <w:tcPr>
            <w:tcW w:type="dxa" w:w="620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Managed encryption at rest for DB/object storage/backups; keys separated and rotated</w:t>
            </w:r>
          </w:p>
        </w:tc>
        <w:tc>
          <w:tcPr>
            <w:tcW w:type="dxa" w:w="234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Configuration and recovery evidence</w:t>
            </w:r>
          </w:p>
        </w:tc>
      </w:tr>
      <w:tr>
        <w:trPr>
          <w:cantSplit/>
        </w:trPr>
        <w:tc>
          <w:tcPr>
            <w:tcW w:type="dxa" w:w="175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Audit</w:t>
            </w:r>
          </w:p>
        </w:tc>
        <w:tc>
          <w:tcPr>
            <w:tcW w:type="dxa" w:w="620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Append-only security and business events; protected from administrators altering their own history</w:t>
            </w:r>
          </w:p>
        </w:tc>
        <w:tc>
          <w:tcPr>
            <w:tcW w:type="dxa" w:w="234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Integrity and privileged-access review</w:t>
            </w:r>
          </w:p>
        </w:tc>
      </w:tr>
      <w:tr>
        <w:trPr>
          <w:cantSplit/>
        </w:trPr>
        <w:tc>
          <w:tcPr>
            <w:tcW w:type="dxa" w:w="175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Retention</w:t>
            </w:r>
          </w:p>
        </w:tc>
        <w:tc>
          <w:tcPr>
            <w:tcW w:type="dxa" w:w="620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Definition/classification-specific schedule, legal hold, disposal approval and cryptographic deletion where applicable</w:t>
            </w:r>
          </w:p>
        </w:tc>
        <w:tc>
          <w:tcPr>
            <w:tcW w:type="dxa" w:w="234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Retention job and disposal certificate</w:t>
            </w:r>
          </w:p>
        </w:tc>
      </w:tr>
      <w:tr>
        <w:trPr>
          <w:cantSplit/>
        </w:trPr>
        <w:tc>
          <w:tcPr>
            <w:tcW w:type="dxa" w:w="175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Export safety</w:t>
            </w:r>
          </w:p>
        </w:tc>
        <w:tc>
          <w:tcPr>
            <w:tcW w:type="dxa" w:w="620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CSV formula neutralization, correct encoding, PDF active-content restrictions, malware scan for uploaded templates</w:t>
            </w:r>
          </w:p>
        </w:tc>
        <w:tc>
          <w:tcPr>
            <w:tcW w:type="dxa" w:w="234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Malicious-content regression tests</w:t>
            </w:r>
          </w:p>
        </w:tc>
      </w:tr>
      <w:tr>
        <w:trPr>
          <w:cantSplit/>
        </w:trPr>
        <w:tc>
          <w:tcPr>
            <w:tcW w:type="dxa" w:w="175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Incident response</w:t>
            </w:r>
          </w:p>
        </w:tc>
        <w:tc>
          <w:tcPr>
            <w:tcW w:type="dxa" w:w="620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Ability to revoke links/artifacts, identify recipients, preserve evidence and notify owners</w:t>
            </w:r>
          </w:p>
        </w:tc>
        <w:tc>
          <w:tcPr>
            <w:tcW w:type="dxa" w:w="234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3"/>
              </w:rPr>
              <w:t>Tabletop exercise</w:t>
            </w:r>
          </w:p>
        </w:tc>
      </w:tr>
    </w:tbl>
    <w:p>
      <w:pPr>
        <w:spacing w:after="0"/>
      </w:pPr>
    </w:p>
    <w:p>
      <w:pPr>
        <w:pStyle w:val="Heading1"/>
      </w:pPr>
      <w:r>
        <w:t>Accessibility and Usability</w:t>
      </w:r>
    </w:p>
    <w:p>
      <w:pPr>
        <w:pStyle w:val="ListBullet"/>
      </w:pPr>
      <w:r>
        <w:t>Every chart has a programmatic name, textual summary and accessible data table; meaning is not conveyed by color alone.</w:t>
      </w:r>
    </w:p>
    <w:p>
      <w:pPr>
        <w:pStyle w:val="ListBullet"/>
      </w:pPr>
      <w:r>
        <w:t>Keyboard users can reach filters, help, drill-through, approval and download controls in logical order with a visible focus indicator.</w:t>
      </w:r>
    </w:p>
    <w:p>
      <w:pPr>
        <w:pStyle w:val="ListBullet"/>
      </w:pPr>
      <w:r>
        <w:t>Tables include real headers, captions/context, pagination status and downloadable accessible alternatives.</w:t>
      </w:r>
    </w:p>
    <w:p>
      <w:pPr>
        <w:pStyle w:val="ListBullet"/>
      </w:pPr>
      <w:r>
        <w:t>Generated PDFs/DOCX files use headings, reading order, tagged tables, sufficient contrast, alt text and a declared language.</w:t>
      </w:r>
    </w:p>
    <w:p>
      <w:pPr>
        <w:pStyle w:val="ListBullet"/>
      </w:pPr>
      <w:r>
        <w:t>The interface shows definition, data cutoff, last refresh, quality state, units and active filters near the value or output.</w:t>
      </w:r>
    </w:p>
    <w:p>
      <w:pPr>
        <w:pStyle w:val="Heading1"/>
      </w:pPr>
      <w:r>
        <w:t>Non-Functional Requirements and SLOs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04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Area</w:t>
            </w:r>
          </w:p>
        </w:tc>
        <w:tc>
          <w:tcPr>
            <w:tcW w:type="dxa" w:w="5659"/>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Proposed initial target</w:t>
            </w:r>
          </w:p>
        </w:tc>
        <w:tc>
          <w:tcPr>
            <w:tcW w:type="dxa" w:w="2606"/>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Measurement</w:t>
            </w:r>
          </w:p>
        </w:tc>
      </w:tr>
      <w:tr>
        <w:trPr>
          <w:cantSplit/>
        </w:trPr>
        <w:tc>
          <w:tcPr>
            <w:tcW w:type="dxa" w:w="20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Dashboard availability</w:t>
            </w:r>
          </w:p>
        </w:tc>
        <w:tc>
          <w:tcPr>
            <w:tcW w:type="dxa" w:w="565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99.5% monthly excluding approved maintenance</w:t>
            </w:r>
          </w:p>
        </w:tc>
        <w:tc>
          <w:tcPr>
            <w:tcW w:type="dxa" w:w="260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Synthetic checks and server-side success</w:t>
            </w:r>
          </w:p>
        </w:tc>
      </w:tr>
      <w:tr>
        <w:trPr>
          <w:cantSplit/>
        </w:trPr>
        <w:tc>
          <w:tcPr>
            <w:tcW w:type="dxa" w:w="20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Dashboard latency</w:t>
            </w:r>
          </w:p>
        </w:tc>
        <w:tc>
          <w:tcPr>
            <w:tcW w:type="dxa" w:w="565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P95 ≤ 3 seconds for certified cached view; drill-through P95 ≤ 5 seconds</w:t>
            </w:r>
          </w:p>
        </w:tc>
        <w:tc>
          <w:tcPr>
            <w:tcW w:type="dxa" w:w="260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Real-user and API telemetry</w:t>
            </w:r>
          </w:p>
        </w:tc>
      </w:tr>
      <w:tr>
        <w:trPr>
          <w:cantSplit/>
        </w:trPr>
        <w:tc>
          <w:tcPr>
            <w:tcW w:type="dxa" w:w="20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Metric freshness</w:t>
            </w:r>
          </w:p>
        </w:tc>
        <w:tc>
          <w:tcPr>
            <w:tcW w:type="dxa" w:w="565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Defined per metric; current-state dashboard shows as-of and stale threshold</w:t>
            </w:r>
          </w:p>
        </w:tc>
        <w:tc>
          <w:tcPr>
            <w:tcW w:type="dxa" w:w="260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Refresh-run versus published snapshot</w:t>
            </w:r>
          </w:p>
        </w:tc>
      </w:tr>
      <w:tr>
        <w:trPr>
          <w:cantSplit/>
        </w:trPr>
        <w:tc>
          <w:tcPr>
            <w:tcW w:type="dxa" w:w="20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Interactive reports</w:t>
            </w:r>
          </w:p>
        </w:tc>
        <w:tc>
          <w:tcPr>
            <w:tcW w:type="dxa" w:w="565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P95 ≤ 8 seconds up to approved synchronous row limit</w:t>
            </w:r>
          </w:p>
        </w:tc>
        <w:tc>
          <w:tcPr>
            <w:tcW w:type="dxa" w:w="260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Generation telemetry</w:t>
            </w:r>
          </w:p>
        </w:tc>
      </w:tr>
      <w:tr>
        <w:trPr>
          <w:cantSplit/>
        </w:trPr>
        <w:tc>
          <w:tcPr>
            <w:tcW w:type="dxa" w:w="20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Asynchronous reports</w:t>
            </w:r>
          </w:p>
        </w:tc>
        <w:tc>
          <w:tcPr>
            <w:tcW w:type="dxa" w:w="565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95% complete within 5 minutes for standard volume; deadline per definition</w:t>
            </w:r>
          </w:p>
        </w:tc>
        <w:tc>
          <w:tcPr>
            <w:tcW w:type="dxa" w:w="260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Queue-to-complete duration</w:t>
            </w:r>
          </w:p>
        </w:tc>
      </w:tr>
      <w:tr>
        <w:trPr>
          <w:cantSplit/>
        </w:trPr>
        <w:tc>
          <w:tcPr>
            <w:tcW w:type="dxa" w:w="20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Correctness</w:t>
            </w:r>
          </w:p>
        </w:tc>
        <w:tc>
          <w:tcPr>
            <w:tcW w:type="dxa" w:w="565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100% pass for certified golden datasets; zero unresolved blocking validations on release</w:t>
            </w:r>
          </w:p>
        </w:tc>
        <w:tc>
          <w:tcPr>
            <w:tcW w:type="dxa" w:w="260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Automated tests and validation ledger</w:t>
            </w:r>
          </w:p>
        </w:tc>
      </w:tr>
      <w:tr>
        <w:trPr>
          <w:cantSplit/>
        </w:trPr>
        <w:tc>
          <w:tcPr>
            <w:tcW w:type="dxa" w:w="20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Audit coverage</w:t>
            </w:r>
          </w:p>
        </w:tc>
        <w:tc>
          <w:tcPr>
            <w:tcW w:type="dxa" w:w="565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100% of request/generate/approve/release/download/submit/revoke events</w:t>
            </w:r>
          </w:p>
        </w:tc>
        <w:tc>
          <w:tcPr>
            <w:tcW w:type="dxa" w:w="260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Control reconciliation</w:t>
            </w:r>
          </w:p>
        </w:tc>
      </w:tr>
      <w:tr>
        <w:trPr>
          <w:cantSplit/>
        </w:trPr>
        <w:tc>
          <w:tcPr>
            <w:tcW w:type="dxa" w:w="20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Recovery</w:t>
            </w:r>
          </w:p>
        </w:tc>
        <w:tc>
          <w:tcPr>
            <w:tcW w:type="dxa" w:w="565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RPO/RTO set by data classification; restore exercise at least annually</w:t>
            </w:r>
          </w:p>
        </w:tc>
        <w:tc>
          <w:tcPr>
            <w:tcW w:type="dxa" w:w="260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Backup restore evidence</w:t>
            </w:r>
          </w:p>
        </w:tc>
      </w:tr>
    </w:tbl>
    <w:p>
      <w:pPr>
        <w:spacing w:after="0"/>
      </w:pPr>
    </w:p>
    <w:tbl>
      <w:tblPr>
        <w:tblW w:type="auto" w:w="0"/>
        <w:jc w:val="center"/>
        <w:tblLook w:firstColumn="1" w:firstRow="1" w:lastColumn="0" w:lastRow="0" w:noHBand="0" w:noVBand="1" w:val="04A0"/>
      </w:tblPr>
      <w:tblGrid>
        <w:gridCol w:w="10310"/>
      </w:tblGrid>
      <w:tr>
        <w:trPr>
          <w:tblHeader w:val="true"/>
          <w:cantSplit/>
        </w:trPr>
        <w:tc>
          <w:tcPr>
            <w:tcW w:type="dxa" w:w="10310"/>
            <w:shd w:fill="FFF5DC"/>
            <w:tcBorders>
              <w:top w:val="single" w:sz="4" w:color="0F6B46"/>
              <w:left w:val="single" w:sz="4" w:color="0F6B46"/>
              <w:bottom w:val="single" w:sz="4" w:color="0F6B46"/>
              <w:right w:val="single" w:sz="4" w:color="0F6B46"/>
              <w:insideH w:val="single" w:sz="4" w:color="0F6B46"/>
              <w:insideV w:val="single" w:sz="4" w:color="0F6B46"/>
            </w:tcBorders>
            <w:tcMar>
              <w:top w:w="105" w:type="dxa"/>
              <w:start w:w="120" w:type="dxa"/>
              <w:bottom w:w="105" w:type="dxa"/>
              <w:end w:w="120" w:type="dxa"/>
            </w:tcMar>
          </w:tcPr>
          <w:p>
            <w:pPr>
              <w:spacing w:after="0"/>
            </w:pPr>
            <w:r>
              <w:rPr>
                <w:rFonts w:ascii="Aptos" w:hAnsi="Aptos"/>
                <w:b/>
                <w:color w:val="0F6B46"/>
                <w:sz w:val="16"/>
              </w:rPr>
              <w:t xml:space="preserve">Sizing note  </w:t>
            </w:r>
            <w:r>
              <w:rPr>
                <w:rFonts w:ascii="Aptos" w:hAnsi="Aptos"/>
                <w:b w:val="0"/>
                <w:color w:val="1F2D27"/>
                <w:sz w:val="16"/>
              </w:rPr>
              <w:t>Targets are proposed starting points. PLP must baseline data volumes, concurrency, network, regulator windows and records obligations before approving production SLOs.</w:t>
            </w:r>
          </w:p>
        </w:tc>
      </w:tr>
    </w:tbl>
    <w:p>
      <w:pPr>
        <w:spacing w:after="0"/>
      </w:pPr>
    </w:p>
    <w:p>
      <w:r>
        <w:br w:type="page"/>
      </w:r>
    </w:p>
    <w:p>
      <w:pPr>
        <w:pStyle w:val="Heading1"/>
      </w:pPr>
      <w:r>
        <w:t>Monitoring and Operational Runbook</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929"/>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Signal</w:t>
            </w:r>
          </w:p>
        </w:tc>
        <w:tc>
          <w:tcPr>
            <w:tcW w:type="dxa" w:w="3456"/>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Alert condition</w:t>
            </w:r>
          </w:p>
        </w:tc>
        <w:tc>
          <w:tcPr>
            <w:tcW w:type="dxa" w:w="492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First response</w:t>
            </w:r>
          </w:p>
        </w:tc>
      </w:tr>
      <w:tr>
        <w:trPr>
          <w:cantSplit/>
        </w:trPr>
        <w:tc>
          <w:tcPr>
            <w:tcW w:type="dxa" w:w="192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Generation failures</w:t>
            </w:r>
          </w:p>
        </w:tc>
        <w:tc>
          <w:tcPr>
            <w:tcW w:type="dxa" w:w="345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Error-rate or repeated retry threshold exceeded</w:t>
            </w:r>
          </w:p>
        </w:tc>
        <w:tc>
          <w:tcPr>
            <w:tcW w:type="dxa" w:w="492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Inspect correlation ID, definition/version, dependency and validation stage; do not release partial output</w:t>
            </w:r>
          </w:p>
        </w:tc>
      </w:tr>
      <w:tr>
        <w:trPr>
          <w:cantSplit/>
        </w:trPr>
        <w:tc>
          <w:tcPr>
            <w:tcW w:type="dxa" w:w="192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Queue age</w:t>
            </w:r>
          </w:p>
        </w:tc>
        <w:tc>
          <w:tcPr>
            <w:tcW w:type="dxa" w:w="345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Oldest standard/high-priority job exceeds target</w:t>
            </w:r>
          </w:p>
        </w:tc>
        <w:tc>
          <w:tcPr>
            <w:tcW w:type="dxa" w:w="492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Scale/repair workers; preserve ordering/idempotency; notify requestors</w:t>
            </w:r>
          </w:p>
        </w:tc>
      </w:tr>
      <w:tr>
        <w:trPr>
          <w:cantSplit/>
        </w:trPr>
        <w:tc>
          <w:tcPr>
            <w:tcW w:type="dxa" w:w="192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Metric freshness</w:t>
            </w:r>
          </w:p>
        </w:tc>
        <w:tc>
          <w:tcPr>
            <w:tcW w:type="dxa" w:w="345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Snapshot older than certified threshold</w:t>
            </w:r>
          </w:p>
        </w:tc>
        <w:tc>
          <w:tcPr>
            <w:tcW w:type="dxa" w:w="492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Mark widget stale; investigate refresh run; do not substitute prior data without label</w:t>
            </w:r>
          </w:p>
        </w:tc>
      </w:tr>
      <w:tr>
        <w:trPr>
          <w:cantSplit/>
        </w:trPr>
        <w:tc>
          <w:tcPr>
            <w:tcW w:type="dxa" w:w="192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Count anomaly</w:t>
            </w:r>
          </w:p>
        </w:tc>
        <w:tc>
          <w:tcPr>
            <w:tcW w:type="dxa" w:w="345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Population/value changes outside approved tolerance</w:t>
            </w:r>
          </w:p>
        </w:tc>
        <w:tc>
          <w:tcPr>
            <w:tcW w:type="dxa" w:w="492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Hold publication; compare lineage, source loads and policy versions</w:t>
            </w:r>
          </w:p>
        </w:tc>
      </w:tr>
      <w:tr>
        <w:trPr>
          <w:cantSplit/>
        </w:trPr>
        <w:tc>
          <w:tcPr>
            <w:tcW w:type="dxa" w:w="192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Validation trend</w:t>
            </w:r>
          </w:p>
        </w:tc>
        <w:tc>
          <w:tcPr>
            <w:tcW w:type="dxa" w:w="345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Blocking/warning volume increases</w:t>
            </w:r>
          </w:p>
        </w:tc>
        <w:tc>
          <w:tcPr>
            <w:tcW w:type="dxa" w:w="492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Assign data owner; analyze source/domain changes; document resolution</w:t>
            </w:r>
          </w:p>
        </w:tc>
      </w:tr>
      <w:tr>
        <w:trPr>
          <w:cantSplit/>
        </w:trPr>
        <w:tc>
          <w:tcPr>
            <w:tcW w:type="dxa" w:w="192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Unauthorized activity</w:t>
            </w:r>
          </w:p>
        </w:tc>
        <w:tc>
          <w:tcPr>
            <w:tcW w:type="dxa" w:w="345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Denied export/download spike or abnormal volume</w:t>
            </w:r>
          </w:p>
        </w:tc>
        <w:tc>
          <w:tcPr>
            <w:tcW w:type="dxa" w:w="492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Security triage; revoke sessions/links; preserve audit evidence</w:t>
            </w:r>
          </w:p>
        </w:tc>
      </w:tr>
      <w:tr>
        <w:trPr>
          <w:cantSplit/>
        </w:trPr>
        <w:tc>
          <w:tcPr>
            <w:tcW w:type="dxa" w:w="1929"/>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Artifact integrity</w:t>
            </w:r>
          </w:p>
        </w:tc>
        <w:tc>
          <w:tcPr>
            <w:tcW w:type="dxa" w:w="3456"/>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Hash mismatch, scan failure or missing object</w:t>
            </w:r>
          </w:p>
        </w:tc>
        <w:tc>
          <w:tcPr>
            <w:tcW w:type="dxa" w:w="492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Quarantine, revoke delivery and regenerate from approved snapshot</w:t>
            </w:r>
          </w:p>
        </w:tc>
      </w:tr>
      <w:tr>
        <w:trPr>
          <w:cantSplit/>
        </w:trPr>
        <w:tc>
          <w:tcPr>
            <w:tcW w:type="dxa" w:w="1929"/>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Regulatory deadline</w:t>
            </w:r>
          </w:p>
        </w:tc>
        <w:tc>
          <w:tcPr>
            <w:tcW w:type="dxa" w:w="3456"/>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Readiness incomplete inside escalation window</w:t>
            </w:r>
          </w:p>
        </w:tc>
        <w:tc>
          <w:tcPr>
            <w:tcW w:type="dxa" w:w="492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Escalate owner/signatory; record risk and recovery plan</w:t>
            </w:r>
          </w:p>
        </w:tc>
      </w:tr>
    </w:tbl>
    <w:p>
      <w:pPr>
        <w:spacing w:after="0"/>
      </w:pPr>
    </w:p>
    <w:p>
      <w:pPr>
        <w:pStyle w:val="Heading1"/>
      </w:pPr>
      <w:r>
        <w:t>Testing Strategy</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2044"/>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Test class</w:t>
            </w:r>
          </w:p>
        </w:tc>
        <w:tc>
          <w:tcPr>
            <w:tcW w:type="dxa" w:w="8265"/>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Minimum coverage</w:t>
            </w:r>
          </w:p>
        </w:tc>
      </w:tr>
      <w:tr>
        <w:trPr>
          <w:cantSplit/>
        </w:trPr>
        <w:tc>
          <w:tcPr>
            <w:tcW w:type="dxa" w:w="20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Unit</w:t>
            </w:r>
          </w:p>
        </w:tc>
        <w:tc>
          <w:tcPr>
            <w:tcW w:type="dxa" w:w="826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Parameter validators, date/period mapping, grade conversions, population rules, thresholds, masking and output encoding</w:t>
            </w:r>
          </w:p>
        </w:tc>
      </w:tr>
      <w:tr>
        <w:trPr>
          <w:cantSplit/>
        </w:trPr>
        <w:tc>
          <w:tcPr>
            <w:tcW w:type="dxa" w:w="20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Contract</w:t>
            </w:r>
          </w:p>
        </w:tc>
        <w:tc>
          <w:tcPr>
            <w:tcW w:type="dxa" w:w="826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Every certified dataset schema, nullability, keys, types, semantics, freshness and ownership</w:t>
            </w:r>
          </w:p>
        </w:tc>
      </w:tr>
      <w:tr>
        <w:trPr>
          <w:cantSplit/>
        </w:trPr>
        <w:tc>
          <w:tcPr>
            <w:tcW w:type="dxa" w:w="20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Golden dataset</w:t>
            </w:r>
          </w:p>
        </w:tc>
        <w:tc>
          <w:tcPr>
            <w:tcW w:type="dxa" w:w="826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Known students/enrollments/grades including boundaries, repeats, missing grades, PE/NSTP/PATHFit cohorts and rounding</w:t>
            </w:r>
          </w:p>
        </w:tc>
      </w:tr>
      <w:tr>
        <w:trPr>
          <w:cantSplit/>
        </w:trPr>
        <w:tc>
          <w:tcPr>
            <w:tcW w:type="dxa" w:w="20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Authorization</w:t>
            </w:r>
          </w:p>
        </w:tc>
        <w:tc>
          <w:tcPr>
            <w:tcW w:type="dxa" w:w="826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Role/action/row/column combinations; direct IDs; export/download after scope change; approval segregation</w:t>
            </w:r>
          </w:p>
        </w:tc>
      </w:tr>
      <w:tr>
        <w:trPr>
          <w:cantSplit/>
        </w:trPr>
        <w:tc>
          <w:tcPr>
            <w:tcW w:type="dxa" w:w="20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Integration</w:t>
            </w:r>
          </w:p>
        </w:tc>
        <w:tc>
          <w:tcPr>
            <w:tcW w:type="dxa" w:w="826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Snapshot, queue, validation, render, artifact store, notification, acknowledgement and audit chain</w:t>
            </w:r>
          </w:p>
        </w:tc>
      </w:tr>
      <w:tr>
        <w:trPr>
          <w:cantSplit/>
        </w:trPr>
        <w:tc>
          <w:tcPr>
            <w:tcW w:type="dxa" w:w="20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Reconciliation</w:t>
            </w:r>
          </w:p>
        </w:tc>
        <w:tc>
          <w:tcPr>
            <w:tcW w:type="dxa" w:w="826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Source-to-detail-to-summary-to-dashboard; previous released output under same cutoff/version</w:t>
            </w:r>
          </w:p>
        </w:tc>
      </w:tr>
      <w:tr>
        <w:trPr>
          <w:cantSplit/>
        </w:trPr>
        <w:tc>
          <w:tcPr>
            <w:tcW w:type="dxa" w:w="20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Security</w:t>
            </w:r>
          </w:p>
        </w:tc>
        <w:tc>
          <w:tcPr>
            <w:tcW w:type="dxa" w:w="826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Injection, CSV formula, object access, signed-link expiry, template upload, log leakage and rate limits</w:t>
            </w:r>
          </w:p>
        </w:tc>
      </w:tr>
      <w:tr>
        <w:trPr>
          <w:cantSplit/>
        </w:trPr>
        <w:tc>
          <w:tcPr>
            <w:tcW w:type="dxa" w:w="20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Performance/resilience</w:t>
            </w:r>
          </w:p>
        </w:tc>
        <w:tc>
          <w:tcPr>
            <w:tcW w:type="dxa" w:w="826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Representative volume, concurrency, timeouts, retries, worker loss, storage/database degradation</w:t>
            </w:r>
          </w:p>
        </w:tc>
      </w:tr>
      <w:tr>
        <w:trPr>
          <w:cantSplit/>
        </w:trPr>
        <w:tc>
          <w:tcPr>
            <w:tcW w:type="dxa" w:w="2044"/>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Accessibility</w:t>
            </w:r>
          </w:p>
        </w:tc>
        <w:tc>
          <w:tcPr>
            <w:tcW w:type="dxa" w:w="8265"/>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Keyboard, screen reader, contrast, reflow, tagged output and equivalent chart/table content</w:t>
            </w:r>
          </w:p>
        </w:tc>
      </w:tr>
      <w:tr>
        <w:trPr>
          <w:cantSplit/>
        </w:trPr>
        <w:tc>
          <w:tcPr>
            <w:tcW w:type="dxa" w:w="2044"/>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UAT/parallel run</w:t>
            </w:r>
          </w:p>
        </w:tc>
        <w:tc>
          <w:tcPr>
            <w:tcW w:type="dxa" w:w="8265"/>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Business owners compare target outputs with approved manual/current process and sign variance disposition</w:t>
            </w:r>
          </w:p>
        </w:tc>
      </w:tr>
    </w:tbl>
    <w:p>
      <w:pPr>
        <w:spacing w:after="0"/>
      </w:pPr>
    </w:p>
    <w:p>
      <w:r>
        <w:br w:type="page"/>
      </w:r>
    </w:p>
    <w:p>
      <w:pPr>
        <w:pStyle w:val="Heading1"/>
      </w:pPr>
      <w:r>
        <w:t>Implementation Roadmap</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123"/>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Phase</w:t>
            </w:r>
          </w:p>
        </w:tc>
        <w:tc>
          <w:tcPr>
            <w:tcW w:type="dxa" w:w="5903"/>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Deliverables</w:t>
            </w:r>
          </w:p>
        </w:tc>
        <w:tc>
          <w:tcPr>
            <w:tcW w:type="dxa" w:w="3283"/>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Exit criteria</w:t>
            </w:r>
          </w:p>
        </w:tc>
      </w:tr>
      <w:tr>
        <w:trPr>
          <w:cantSplit/>
        </w:trPr>
        <w:tc>
          <w:tcPr>
            <w:tcW w:type="dxa" w:w="112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0. Governance</w:t>
            </w:r>
          </w:p>
        </w:tc>
        <w:tc>
          <w:tcPr>
            <w:tcW w:type="dxa" w:w="59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Owners, taxonomy, data classifications, official obligations, baseline metrics, definition template</w:t>
            </w:r>
          </w:p>
        </w:tc>
        <w:tc>
          <w:tcPr>
            <w:tcW w:type="dxa" w:w="328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Priority reports and KPIs have signed definitions</w:t>
            </w:r>
          </w:p>
        </w:tc>
      </w:tr>
      <w:tr>
        <w:trPr>
          <w:cantSplit/>
        </w:trPr>
        <w:tc>
          <w:tcPr>
            <w:tcW w:type="dxa" w:w="112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1. Control foundation</w:t>
            </w:r>
          </w:p>
        </w:tc>
        <w:tc>
          <w:tcPr>
            <w:tcW w:type="dxa" w:w="59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Unified access policy, generation ledger, audit events, no-data/stale states, removal of synthetic official values</w:t>
            </w:r>
          </w:p>
        </w:tc>
        <w:tc>
          <w:tcPr>
            <w:tcW w:type="dxa" w:w="328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Security and traceability tests pass</w:t>
            </w:r>
          </w:p>
        </w:tc>
      </w:tr>
      <w:tr>
        <w:trPr>
          <w:cantSplit/>
        </w:trPr>
        <w:tc>
          <w:tcPr>
            <w:tcW w:type="dxa" w:w="112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2. Report service</w:t>
            </w:r>
          </w:p>
        </w:tc>
        <w:tc>
          <w:tcPr>
            <w:tcW w:type="dxa" w:w="59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Catalogue, request API, validation engine, versioned templates, server-side artifacts, secure download</w:t>
            </w:r>
          </w:p>
        </w:tc>
        <w:tc>
          <w:tcPr>
            <w:tcW w:type="dxa" w:w="328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One high-value report completes end-to-end with reproducible evidence</w:t>
            </w:r>
          </w:p>
        </w:tc>
      </w:tr>
      <w:tr>
        <w:trPr>
          <w:cantSplit/>
        </w:trPr>
        <w:tc>
          <w:tcPr>
            <w:tcW w:type="dxa" w:w="112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3. Certified metrics</w:t>
            </w:r>
          </w:p>
        </w:tc>
        <w:tc>
          <w:tcPr>
            <w:tcW w:type="dxa" w:w="59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Metric catalogue, refresh runs, snapshots, dashboard quality/freshness, accessible drill-through</w:t>
            </w:r>
          </w:p>
        </w:tc>
        <w:tc>
          <w:tcPr>
            <w:tcW w:type="dxa" w:w="328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Selected dashboard reconciles and meets SLO</w:t>
            </w:r>
          </w:p>
        </w:tc>
      </w:tr>
      <w:tr>
        <w:trPr>
          <w:cantSplit/>
        </w:trPr>
        <w:tc>
          <w:tcPr>
            <w:tcW w:type="dxa" w:w="112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4. Approval/regulatory</w:t>
            </w:r>
          </w:p>
        </w:tc>
        <w:tc>
          <w:tcPr>
            <w:tcW w:type="dxa" w:w="59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Approval workflow, obligation register, submissions, receipts, amendments, retention</w:t>
            </w:r>
          </w:p>
        </w:tc>
        <w:tc>
          <w:tcPr>
            <w:tcW w:type="dxa" w:w="328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Compliance owner accepts evidence chain</w:t>
            </w:r>
          </w:p>
        </w:tc>
      </w:tr>
      <w:tr>
        <w:trPr>
          <w:cantSplit/>
        </w:trPr>
        <w:tc>
          <w:tcPr>
            <w:tcW w:type="dxa" w:w="112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5. Scale and analytics</w:t>
            </w:r>
          </w:p>
        </w:tc>
        <w:tc>
          <w:tcPr>
            <w:tcW w:type="dxa" w:w="590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Read replica/reporting store, asynchronous workloads, cache, performance tuning, optional warehouse</w:t>
            </w:r>
          </w:p>
        </w:tc>
        <w:tc>
          <w:tcPr>
            <w:tcW w:type="dxa" w:w="328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Production volume/load/resilience targets pass</w:t>
            </w:r>
          </w:p>
        </w:tc>
      </w:tr>
      <w:tr>
        <w:trPr>
          <w:cantSplit/>
        </w:trPr>
        <w:tc>
          <w:tcPr>
            <w:tcW w:type="dxa" w:w="112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6. Migration and retirement</w:t>
            </w:r>
          </w:p>
        </w:tc>
        <w:tc>
          <w:tcPr>
            <w:tcW w:type="dxa" w:w="590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Parallel-run reconciliation, user training, legacy export inventory, retention and retirement</w:t>
            </w:r>
          </w:p>
        </w:tc>
        <w:tc>
          <w:tcPr>
            <w:tcW w:type="dxa" w:w="328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Owners approve cutover and legacy controls are closed</w:t>
            </w:r>
          </w:p>
        </w:tc>
      </w:tr>
    </w:tbl>
    <w:p>
      <w:pPr>
        <w:spacing w:after="0"/>
      </w:pPr>
    </w:p>
    <w:p>
      <w:pPr>
        <w:pStyle w:val="Heading1"/>
      </w:pPr>
      <w:r>
        <w:t>Definition of Done</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1987"/>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Category</w:t>
            </w:r>
          </w:p>
        </w:tc>
        <w:tc>
          <w:tcPr>
            <w:tcW w:type="dxa" w:w="8323"/>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Completion condition</w:t>
            </w:r>
          </w:p>
        </w:tc>
      </w:tr>
      <w:tr>
        <w:trPr>
          <w:cantSplit/>
        </w:trPr>
        <w:tc>
          <w:tcPr>
            <w:tcW w:type="dxa" w:w="198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Business</w:t>
            </w:r>
          </w:p>
        </w:tc>
        <w:tc>
          <w:tcPr>
            <w:tcW w:type="dxa" w:w="832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Owner, purpose, population, calculation, schedule, recipient and exception policy approved</w:t>
            </w:r>
          </w:p>
        </w:tc>
      </w:tr>
      <w:tr>
        <w:trPr>
          <w:cantSplit/>
        </w:trPr>
        <w:tc>
          <w:tcPr>
            <w:tcW w:type="dxa" w:w="198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Data</w:t>
            </w:r>
          </w:p>
        </w:tc>
        <w:tc>
          <w:tcPr>
            <w:tcW w:type="dxa" w:w="832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Contract, lineage, cutoff, quality rules, reconciliation and historical behavior approved</w:t>
            </w:r>
          </w:p>
        </w:tc>
      </w:tr>
      <w:tr>
        <w:trPr>
          <w:cantSplit/>
        </w:trPr>
        <w:tc>
          <w:tcPr>
            <w:tcW w:type="dxa" w:w="198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Security/privacy</w:t>
            </w:r>
          </w:p>
        </w:tc>
        <w:tc>
          <w:tcPr>
            <w:tcW w:type="dxa" w:w="832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Access, row/column scope, classification, masking, retention and threat tests accepted</w:t>
            </w:r>
          </w:p>
        </w:tc>
      </w:tr>
      <w:tr>
        <w:trPr>
          <w:cantSplit/>
        </w:trPr>
        <w:tc>
          <w:tcPr>
            <w:tcW w:type="dxa" w:w="198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Functional</w:t>
            </w:r>
          </w:p>
        </w:tc>
        <w:tc>
          <w:tcPr>
            <w:tcW w:type="dxa" w:w="832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Request, validation, approval, rendering, delivery, amendment and no-data paths pass</w:t>
            </w:r>
          </w:p>
        </w:tc>
      </w:tr>
      <w:tr>
        <w:trPr>
          <w:cantSplit/>
        </w:trPr>
        <w:tc>
          <w:tcPr>
            <w:tcW w:type="dxa" w:w="198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Operational</w:t>
            </w:r>
          </w:p>
        </w:tc>
        <w:tc>
          <w:tcPr>
            <w:tcW w:type="dxa" w:w="832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SLOs, alerts, dashboards, runbook, backup/restore and support ownership tested</w:t>
            </w:r>
          </w:p>
        </w:tc>
      </w:tr>
      <w:tr>
        <w:trPr>
          <w:cantSplit/>
        </w:trPr>
        <w:tc>
          <w:tcPr>
            <w:tcW w:type="dxa" w:w="1987"/>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Accessibility</w:t>
            </w:r>
          </w:p>
        </w:tc>
        <w:tc>
          <w:tcPr>
            <w:tcW w:type="dxa" w:w="8323"/>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UI and generated artifacts meet the approved accessibility standard</w:t>
            </w:r>
          </w:p>
        </w:tc>
      </w:tr>
      <w:tr>
        <w:trPr>
          <w:cantSplit/>
        </w:trPr>
        <w:tc>
          <w:tcPr>
            <w:tcW w:type="dxa" w:w="1987"/>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Evidence</w:t>
            </w:r>
          </w:p>
        </w:tc>
        <w:tc>
          <w:tcPr>
            <w:tcW w:type="dxa" w:w="8323"/>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Definition/rule/template/code versions, tests, approvals, artifact hash and audit events are retrievable</w:t>
            </w:r>
          </w:p>
        </w:tc>
      </w:tr>
    </w:tbl>
    <w:p>
      <w:pPr>
        <w:spacing w:after="0"/>
      </w:pPr>
    </w:p>
    <w:tbl>
      <w:tblPr>
        <w:tblW w:type="auto" w:w="0"/>
        <w:jc w:val="center"/>
        <w:tblLook w:firstColumn="1" w:firstRow="1" w:lastColumn="0" w:lastRow="0" w:noHBand="0" w:noVBand="1" w:val="04A0"/>
      </w:tblPr>
      <w:tblGrid>
        <w:gridCol w:w="10310"/>
      </w:tblGrid>
      <w:tr>
        <w:trPr>
          <w:tblHeader w:val="true"/>
          <w:cantSplit/>
        </w:trPr>
        <w:tc>
          <w:tcPr>
            <w:tcW w:type="dxa" w:w="10310"/>
            <w:shd w:fill="EAF4EF"/>
            <w:tcBorders>
              <w:top w:val="single" w:sz="4" w:color="0F6B46"/>
              <w:left w:val="single" w:sz="4" w:color="0F6B46"/>
              <w:bottom w:val="single" w:sz="4" w:color="0F6B46"/>
              <w:right w:val="single" w:sz="4" w:color="0F6B46"/>
              <w:insideH w:val="single" w:sz="4" w:color="0F6B46"/>
              <w:insideV w:val="single" w:sz="4" w:color="0F6B46"/>
            </w:tcBorders>
            <w:tcMar>
              <w:top w:w="105" w:type="dxa"/>
              <w:start w:w="120" w:type="dxa"/>
              <w:bottom w:w="105" w:type="dxa"/>
              <w:end w:w="120" w:type="dxa"/>
            </w:tcMar>
          </w:tcPr>
          <w:p>
            <w:pPr>
              <w:spacing w:after="0"/>
            </w:pPr>
            <w:r>
              <w:rPr>
                <w:rFonts w:ascii="Aptos" w:hAnsi="Aptos"/>
                <w:b/>
                <w:color w:val="0F6B46"/>
                <w:sz w:val="16"/>
              </w:rPr>
              <w:t xml:space="preserve">Production gate  </w:t>
            </w:r>
            <w:r>
              <w:rPr>
                <w:rFonts w:ascii="Aptos" w:hAnsi="Aptos"/>
                <w:b w:val="0"/>
                <w:color w:val="1F2D27"/>
                <w:sz w:val="16"/>
              </w:rPr>
              <w:t>A report or metric is not certified merely because it renders correctly. Certification requires business ownership, validated data lineage, effective authorization, complete control evidence, operational support and approved change management.</w:t>
            </w:r>
          </w:p>
        </w:tc>
      </w:tr>
    </w:tbl>
    <w:p>
      <w:pPr>
        <w:spacing w:after="0"/>
      </w:pPr>
    </w:p>
    <w:p>
      <w:pPr>
        <w:pStyle w:val="Heading1"/>
      </w:pPr>
      <w:r>
        <w:t>Appendix A — Generation State Model</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3168"/>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State</w:t>
            </w:r>
          </w:p>
        </w:tc>
        <w:tc>
          <w:tcPr>
            <w:tcW w:type="dxa" w:w="7142"/>
            <w:shd w:fill="173B5B"/>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jc w:val="left"/>
            </w:pPr>
            <w:r>
              <w:rPr>
                <w:rFonts w:ascii="Aptos" w:hAnsi="Aptos"/>
                <w:b/>
                <w:color w:val="FFFFFF"/>
                <w:sz w:val="14"/>
              </w:rPr>
              <w:t>Permitted transition</w:t>
            </w:r>
          </w:p>
        </w:tc>
      </w:tr>
      <w:tr>
        <w:trPr>
          <w:cantSplit/>
        </w:trPr>
        <w:tc>
          <w:tcPr>
            <w:tcW w:type="dxa" w:w="31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Requested</w:t>
            </w:r>
          </w:p>
        </w:tc>
        <w:tc>
          <w:tcPr>
            <w:tcW w:type="dxa" w:w="714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Validated or Rejected</w:t>
            </w:r>
          </w:p>
        </w:tc>
      </w:tr>
      <w:tr>
        <w:trPr>
          <w:cantSplit/>
        </w:trPr>
        <w:tc>
          <w:tcPr>
            <w:tcW w:type="dxa" w:w="316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Validated</w:t>
            </w:r>
          </w:p>
        </w:tc>
        <w:tc>
          <w:tcPr>
            <w:tcW w:type="dxa" w:w="714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Queued or Cancelled</w:t>
            </w:r>
          </w:p>
        </w:tc>
      </w:tr>
      <w:tr>
        <w:trPr>
          <w:cantSplit/>
        </w:trPr>
        <w:tc>
          <w:tcPr>
            <w:tcW w:type="dxa" w:w="31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Queued</w:t>
            </w:r>
          </w:p>
        </w:tc>
        <w:tc>
          <w:tcPr>
            <w:tcW w:type="dxa" w:w="714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Running or Cancelled</w:t>
            </w:r>
          </w:p>
        </w:tc>
      </w:tr>
      <w:tr>
        <w:trPr>
          <w:cantSplit/>
        </w:trPr>
        <w:tc>
          <w:tcPr>
            <w:tcW w:type="dxa" w:w="316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Running</w:t>
            </w:r>
          </w:p>
        </w:tc>
        <w:tc>
          <w:tcPr>
            <w:tcW w:type="dxa" w:w="714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Validation Failed, Awaiting Review, Failed or Cancelled</w:t>
            </w:r>
          </w:p>
        </w:tc>
      </w:tr>
      <w:tr>
        <w:trPr>
          <w:cantSplit/>
        </w:trPr>
        <w:tc>
          <w:tcPr>
            <w:tcW w:type="dxa" w:w="31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Awaiting Review</w:t>
            </w:r>
          </w:p>
        </w:tc>
        <w:tc>
          <w:tcPr>
            <w:tcW w:type="dxa" w:w="714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Approved, Rejected or Correction Required</w:t>
            </w:r>
          </w:p>
        </w:tc>
      </w:tr>
      <w:tr>
        <w:trPr>
          <w:cantSplit/>
        </w:trPr>
        <w:tc>
          <w:tcPr>
            <w:tcW w:type="dxa" w:w="316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Approved</w:t>
            </w:r>
          </w:p>
        </w:tc>
        <w:tc>
          <w:tcPr>
            <w:tcW w:type="dxa" w:w="714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Released or Revoked</w:t>
            </w:r>
          </w:p>
        </w:tc>
      </w:tr>
      <w:tr>
        <w:trPr>
          <w:cantSplit/>
        </w:trPr>
        <w:tc>
          <w:tcPr>
            <w:tcW w:type="dxa" w:w="3168"/>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Released</w:t>
            </w:r>
          </w:p>
        </w:tc>
        <w:tc>
          <w:tcPr>
            <w:tcW w:type="dxa" w:w="7142"/>
            <w:shd w:fill="FFFFFF"/>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Expired, Revoked or Superseded</w:t>
            </w:r>
          </w:p>
        </w:tc>
      </w:tr>
      <w:tr>
        <w:trPr>
          <w:cantSplit/>
        </w:trPr>
        <w:tc>
          <w:tcPr>
            <w:tcW w:type="dxa" w:w="3168"/>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Failed / Rejected / Cancelled</w:t>
            </w:r>
          </w:p>
        </w:tc>
        <w:tc>
          <w:tcPr>
            <w:tcW w:type="dxa" w:w="7142"/>
            <w:shd w:fill="F5F7F6"/>
            <w:tcBorders>
              <w:top w:val="single" w:sz="4" w:color="D9E1DC"/>
              <w:left w:val="single" w:sz="4" w:color="D9E1DC"/>
              <w:bottom w:val="single" w:sz="4" w:color="D9E1DC"/>
              <w:right w:val="single" w:sz="4" w:color="D9E1DC"/>
              <w:insideH w:val="single" w:sz="4" w:color="D9E1DC"/>
              <w:insideV w:val="single" w:sz="4" w:color="D9E1DC"/>
            </w:tcBorders>
            <w:tcMar>
              <w:top w:w="62" w:type="dxa"/>
              <w:start w:w="72" w:type="dxa"/>
              <w:bottom w:w="62" w:type="dxa"/>
              <w:end w:w="72" w:type="dxa"/>
            </w:tcMar>
            <w:vAlign w:val="center"/>
          </w:tcPr>
          <w:p>
            <w:pPr>
              <w:spacing w:after="0" w:line="240" w:lineRule="auto"/>
              <w:jc w:val="left"/>
            </w:pPr>
            <w:r>
              <w:rPr>
                <w:rFonts w:ascii="Aptos" w:hAnsi="Aptos"/>
                <w:b w:val="0"/>
                <w:color w:val="1F2D27"/>
                <w:sz w:val="14"/>
              </w:rPr>
              <w:t>Terminal; a new linked request/attempt is required</w:t>
            </w:r>
          </w:p>
        </w:tc>
      </w:tr>
    </w:tbl>
    <w:p>
      <w:pPr>
        <w:spacing w:after="0"/>
      </w:pPr>
    </w:p>
    <w:sectPr w:rsidR="00FC693F" w:rsidRPr="0006063C" w:rsidSect="00034616">
      <w:footerReference w:type="default" r:id="rId9"/>
      <w:pgSz w:w="12240" w:h="15840"/>
      <w:pgMar w:top="835" w:right="965" w:bottom="835" w:left="965"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E6D65"/>
        <w:sz w:val="16"/>
      </w:rPr>
      <w:t xml:space="preserve">Page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6" w:line="254" w:lineRule="auto"/>
    </w:pPr>
    <w:rPr>
      <w:rFonts w:ascii="Aptos" w:hAnsi="Aptos"/>
      <w:color w:val="1F2D2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90"/>
      <w:outlineLvl w:val="0"/>
    </w:pPr>
    <w:rPr>
      <w:rFonts w:asciiTheme="majorHAnsi" w:eastAsiaTheme="majorEastAsia" w:hAnsiTheme="majorHAnsi" w:cstheme="majorBidi" w:ascii="Aptos Display" w:hAnsi="Aptos Display"/>
      <w:b/>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120" w:after="9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90"/>
      <w:outlineLvl w:val="2"/>
    </w:pPr>
    <w:rPr>
      <w:rFonts w:asciiTheme="majorHAnsi" w:eastAsiaTheme="majorEastAsia" w:hAnsiTheme="majorHAnsi" w:cstheme="majorBidi" w:ascii="Aptos" w:hAnsi="Aptos"/>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76" w:line="254" w:lineRule="auto"/>
    </w:pPr>
    <w:rPr>
      <w:rFonts w:ascii="Aptos" w:hAnsi="Aptos"/>
      <w:color w:val="1F2D27"/>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6" w:line="254" w:lineRule="auto"/>
      <w:contextualSpacing/>
    </w:pPr>
    <w:rPr>
      <w:rFonts w:ascii="Aptos" w:hAnsi="Aptos"/>
      <w:color w:val="1F2D27"/>
      <w:sz w:val="17"/>
    </w:rPr>
  </w:style>
  <w:style w:type="paragraph" w:styleId="ListBullet2">
    <w:name w:val="List Bullet 2"/>
    <w:basedOn w:val="Normal"/>
    <w:uiPriority w:val="99"/>
    <w:unhideWhenUsed/>
    <w:rsid w:val="00326F90"/>
    <w:pPr>
      <w:numPr>
        <w:numId w:val="2"/>
      </w:numPr>
      <w:spacing w:after="76" w:line="254" w:lineRule="auto"/>
      <w:contextualSpacing/>
    </w:pPr>
    <w:rPr>
      <w:rFonts w:ascii="Aptos" w:hAnsi="Aptos"/>
      <w:color w:val="1F2D27"/>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6" w:line="254" w:lineRule="auto"/>
      <w:contextualSpacing/>
    </w:pPr>
    <w:rPr>
      <w:rFonts w:ascii="Aptos" w:hAnsi="Aptos"/>
      <w:color w:val="1F2D27"/>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PLP System Reports Generation and Dashboard Documentation</dc:title>
  <dc:subject>Target-state PLP reports and dashboard architecture, process, data and controls</dc:subject>
  <dc:creator>PLP Information Technology Office</dc:creator>
  <cp:keywords/>
  <dc:description>generated by python-docx</dc:description>
  <cp:lastModifiedBy/>
  <cp:revision>1</cp:revision>
  <dcterms:created xsi:type="dcterms:W3CDTF">2013-12-23T23:15:00Z</dcterms:created>
  <dcterms:modified xsi:type="dcterms:W3CDTF">2013-12-23T23:15:00Z</dcterms:modified>
  <cp:category/>
</cp:coreProperties>
</file>