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t>PLP System Target Architecture Documentation</w:t>
      </w:r>
    </w:p>
    <w:p>
      <w:pPr>
        <w:spacing w:after="360"/>
      </w:pPr>
      <w:r>
        <w:rPr>
          <w:rFonts w:ascii="Aptos" w:hAnsi="Aptos"/>
          <w:b/>
          <w:color w:val="0F6B46"/>
          <w:sz w:val="26"/>
        </w:rPr>
        <w:t>Production Ready Logical Security Integration and Deployment Design</w:t>
      </w:r>
    </w:p>
    <w:p>
      <w:pPr>
        <w:pStyle w:val="BodyText"/>
      </w:pPr>
      <w:r>
        <w:t>This document defines a proposed target architecture for the PLP System. It is not a statement that the components already exist. The design preserves the functional breadth of PLP Demo while introducing supported technology, scalable state, reliable background processing, stronger security boundaries, observability, and recovery controls.</w:t>
      </w:r>
    </w:p>
    <w:p>
      <w:pPr>
        <w:pStyle w:val="Heading1"/>
      </w:pPr>
      <w:r>
        <w:t>Document Control</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3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6"/>
              </w:rPr>
              <w:t>Field</w:t>
            </w:r>
          </w:p>
        </w:tc>
        <w:tc>
          <w:tcPr>
            <w:tcW w:type="dxa" w:w="79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6"/>
              </w:rPr>
              <w:t>Value</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Document owner</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PLP Information Technology Office and designated business data owners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Primary readers</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System owners, architects, developers, database administrators, security reviewers, quality assurance personnel, auditors, and implementation partners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Status</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Architecture and data design documentation</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Version</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1.0</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Prepared date</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September 13, 2026</w:t>
            </w:r>
          </w:p>
        </w:tc>
      </w:tr>
    </w:tbl>
    <w:p>
      <w:pPr>
        <w:spacing w:after="0"/>
      </w:pPr>
    </w:p>
    <w:p>
      <w:pPr>
        <w:pStyle w:val="Heading2"/>
      </w:pPr>
      <w:r>
        <w:t>Target Decision Summary</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6"/>
              </w:rPr>
              <w:t>Decision</w:t>
            </w:r>
          </w:p>
        </w:tc>
        <w:tc>
          <w:tcPr>
            <w:tcW w:type="dxa" w:w="784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6"/>
              </w:rPr>
              <w:t>Target direction</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Architecture style</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Modular monolith with explicit bounded contexts, service interfaces, and event-driven background work; extract services only when justified</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Delivery</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Containerized immutable application releases through CI/CD with environment-specific configuration and secrets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Identity</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Central identity provider or hardened application identity with MFA for privileged roles and policy-based authorization</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Data</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Highly available transactional database, private object storage, shared cache and session, durable queue, and a separated reporting path</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Operations</w:t>
            </w:r>
          </w:p>
        </w:tc>
        <w:tc>
          <w:tcPr>
            <w:tcW w:type="dxa" w:w="78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Central logs, metrics, tracing, audit monitoring, backup automation, tested disaster recovery, and defined service levels</w:t>
            </w:r>
          </w:p>
        </w:tc>
      </w:tr>
    </w:tbl>
    <w:p>
      <w:pPr>
        <w:spacing w:after="0"/>
      </w:pPr>
    </w:p>
    <w:p>
      <w:r>
        <w:br w:type="page"/>
      </w:r>
    </w:p>
    <w:p>
      <w:pPr>
        <w:pStyle w:val="Heading1"/>
      </w:pPr>
      <w:r>
        <w:t>1 Architecture Goals and Principles</w:t>
      </w:r>
    </w:p>
    <w:p>
      <w:pPr>
        <w:pStyle w:val="ListBullet"/>
      </w:pPr>
      <w:r>
        <w:t>Protect student, applicant, parent, employee, health, grade, financial, and regulatory information by default.</w:t>
      </w:r>
    </w:p>
    <w:p>
      <w:pPr>
        <w:pStyle w:val="ListBullet"/>
      </w:pPr>
      <w:r>
        <w:t>Preserve clear ownership and independent release cadence inside one maintainable platform before introducing distributed complexity.</w:t>
      </w:r>
    </w:p>
    <w:p>
      <w:pPr>
        <w:pStyle w:val="ListBullet"/>
      </w:pPr>
      <w:r>
        <w:t>Make authorization, academic period, audit, files, notifications, search, reporting, and workflow reusable platform services.</w:t>
      </w:r>
    </w:p>
    <w:p>
      <w:pPr>
        <w:pStyle w:val="ListBullet"/>
      </w:pPr>
      <w:r>
        <w:t>Move long-running work outside the web request and make every job idempotent, observable, retryable, and recoverable.</w:t>
      </w:r>
    </w:p>
    <w:p>
      <w:pPr>
        <w:pStyle w:val="ListBullet"/>
      </w:pPr>
      <w:r>
        <w:t>Design every official record and report for traceability, versioning, approval, reproduction, retention, and supersession.</w:t>
      </w:r>
    </w:p>
    <w:p>
      <w:pPr>
        <w:pStyle w:val="ListBullet"/>
      </w:pPr>
      <w:r>
        <w:t>Automate testing, deployment, schema migration, security review, backup verification, and operational monitoring.</w:t>
      </w:r>
    </w:p>
    <w:p>
      <w:pPr>
        <w:pStyle w:val="Heading2"/>
      </w:pPr>
      <w:r>
        <w:t>1.1 Quality Attribute Priorities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Priority</w:t>
            </w:r>
          </w:p>
        </w:tc>
        <w:tc>
          <w:tcPr>
            <w:tcW w:type="dxa" w:w="525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Architecture response</w:t>
            </w:r>
          </w:p>
        </w:tc>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Acceptance evidence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Security and privacy</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Least privilege, MFA, policy engine, encryption, secure files, audit, monitoring, retention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Threat model, access tests, security scans, incident exercises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Data integrity</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Canonical identifiers, database constraints, versioned rules, transactional outbox, reconciliation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Automated integrity tests and control reports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Availability</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Redundant application nodes, managed data services, health checks, backups, failover</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Load, failover, and recovery tests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Performance</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Shared cache, queues, indexes, pagination, read models, reporting replica or warehouse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Service-level dashboards and load tests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Maintainability</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Bounded contexts, interfaces, automated tests, architecture decisions, CI/CD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Change lead time and regression results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Accessibility</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Standards-based UI components, keyboard support, non-color cues, accessible documents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Automated and manual accessibility tests</w:t>
            </w:r>
          </w:p>
        </w:tc>
      </w:tr>
    </w:tbl>
    <w:p>
      <w:pPr>
        <w:spacing w:after="0"/>
      </w:pPr>
    </w:p>
    <w:p>
      <w:r>
        <w:br w:type="page"/>
      </w:r>
    </w:p>
    <w:p>
      <w:pPr>
        <w:pStyle w:val="Heading1"/>
      </w:pPr>
      <w:r>
        <w:t>2 Target Context and Trust Zones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7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Zone</w:t>
            </w:r>
          </w:p>
        </w:tc>
        <w:tc>
          <w:tcPr>
            <w:tcW w:type="dxa" w:w="381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Components</w:t>
            </w:r>
          </w:p>
        </w:tc>
        <w:tc>
          <w:tcPr>
            <w:tcW w:type="dxa" w:w="468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Trust boundary and controls</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User zone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Applicant, student, parent, faculty, staff, administrator, auditor browsers and printers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Untrusted device; TLS, secure session, device-independent authorization, privacy-conscious rendering</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Edge zone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DNS, load balancer, web application firewall, rate limiting, DDoS protection</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Public boundary; allow approved protocols and inspect anomalous traffic</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Application zone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Web nodes, API, domain modules, policy service, background workers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Private network; workload identity, least privilege, no direct public database access</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Data zone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Primary database, replica, cache and session, durable queue, private object storage</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Restricted subnets, encryption, backups, key management, and service-specific credentials</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Analytics zone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Reporting replica or warehouse, governed semantic models, dashboard service</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Read-optimized and access-controlled; no uncontrolled copy of sensitive fields</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Management zone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CI/CD, secrets, monitoring, SIEM, vulnerability management, backup administration</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Privileged access with MFA, approval, audit, and separation of duties</w:t>
            </w:r>
          </w:p>
        </w:tc>
      </w:tr>
      <w:tr>
        <w:trPr>
          <w:cantSplit/>
        </w:trP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Integration zone</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Email, SMS, payment, government or partner interfaces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Contract validation, outbound allowlist, signed messages, retries, and reconciliation</w:t>
            </w:r>
          </w:p>
        </w:tc>
      </w:tr>
    </w:tbl>
    <w:p>
      <w:pPr>
        <w:spacing w:after="0"/>
      </w:pPr>
    </w:p>
    <w:p>
      <w:pPr>
        <w:pStyle w:val="Heading2"/>
      </w:pPr>
      <w:r>
        <w:t>2.1 Target Logical Architecture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7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Layer</w:t>
            </w:r>
          </w:p>
        </w:tc>
        <w:tc>
          <w:tcPr>
            <w:tcW w:type="dxa" w:w="489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Target components</w:t>
            </w:r>
          </w:p>
        </w:tc>
        <w:tc>
          <w:tcPr>
            <w:tcW w:type="dxa" w:w="345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Core responsibility</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Experience</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Responsive web portals, accessible design system, print and document views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Role-specific experience without embedding authorization decisions only in the UI</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API and application</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Versioned API, web controllers, application services, validation, workflow orchestration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Stable use-case contracts and transactional boundaries</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Domain modules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Identity, admissions, student records, academic structure, enrollment, grading, records, finance, scholarships, welfare, communication, compliance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Owned rules and data access through explicit module interfaces</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Shared platform</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Policy, audit, notifications, files, search, reporting, academic period, reference data, job orchestration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Consistent cross-module controls</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Data</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Transactional DB, reporting path, cache, queue, object storage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Durable state, scalable reads, background work, and protected documents</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Operations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Telemetry, SIEM, secrets, CI/CD, backup and recovery</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Secure and observable lifecycle</w:t>
            </w:r>
          </w:p>
        </w:tc>
      </w:tr>
    </w:tbl>
    <w:p>
      <w:pPr>
        <w:spacing w:after="0"/>
      </w:pPr>
    </w:p>
    <w:p>
      <w:r>
        <w:br w:type="page"/>
      </w:r>
    </w:p>
    <w:p>
      <w:pPr>
        <w:pStyle w:val="Heading1"/>
      </w:pPr>
      <w:r>
        <w:t>3 Target Domain Boundaries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Bounded context</w:t>
            </w:r>
          </w:p>
        </w:tc>
        <w:tc>
          <w:tcPr>
            <w:tcW w:type="dxa" w:w="45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Owns</w:t>
            </w:r>
          </w:p>
        </w:tc>
        <w:tc>
          <w:tcPr>
            <w:tcW w:type="dxa" w:w="345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Published interfaces or events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Identity and access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Accounts, identities, roles, permissions, scopes, sessions, privileged access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Identity verified, access granted or revoked, account state changed</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Admissions</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Applications, choices, requirements, examinations, decisions, applicant conversion</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Application submitted, requirement accepted, decision released, student created</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Person and student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Person identity, contacts, addresses, student profile, family relationships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Person updated, student status changed</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Academic structure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Calendar, terms, colleges, programs, curricula, courses, prerequisites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Term opened, curriculum published, course offering defined</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Enrollment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Sections, offerings, registration, subject enrollment, cross-enrollment, LOA</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 enrolled, enrollment changed, LOA approved</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Grading</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Gradebook, components, grade posting, corrections, transmutation, GWA and CWA rules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Grade submitted, posted, corrected, completed</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Records and graduation</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Official documents, certificates, transcript, graduate tagging, honors, BOR references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Document issued, graduate confirmed, record superseded</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Finance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Charges, fees, assessments, payments, refunds, receipts, holds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Assessment posted, payment confirmed, financial hold changed</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Scholarship and assistance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Programs, applications, eligibility, awards, disbursement evidence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Award granted, status changed</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 welfare</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Health, clinic, medical, discipline, guidance, accommodations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Restricted case event with privacy-minimized payload</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Communication and support</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Announcements, templates, notifications, delivery attempts, messages, tickets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Notification requested, delivered, failed</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Compliance and reporting</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Obligations, datasets, validation, approvals, submissions, dashboards, generated reports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Dataset ready, report approved, submission acknowledged</w:t>
            </w:r>
          </w:p>
        </w:tc>
      </w:tr>
    </w:tbl>
    <w:p>
      <w:pPr>
        <w:spacing w:after="0"/>
      </w:pPr>
    </w:p>
    <w:p>
      <w:r>
        <w:br w:type="page"/>
      </w:r>
    </w:p>
    <w:p>
      <w:pPr>
        <w:pStyle w:val="Heading1"/>
      </w:pPr>
      <w:r>
        <w:t>4 Synchronous and Asynchronous Processing</w:t>
      </w:r>
    </w:p>
    <w:p>
      <w:pPr>
        <w:pStyle w:val="Heading2"/>
      </w:pPr>
      <w:r>
        <w:t>4.1 Interactive Request Flow</w:t>
      </w:r>
    </w:p>
    <w:p>
      <w:pPr>
        <w:pStyle w:val="BodyText"/>
        <w:ind w:left="360" w:hanging="360"/>
      </w:pPr>
      <w:r>
        <w:rPr>
          <w:b/>
        </w:rPr>
        <w:t xml:space="preserve">1.  </w:t>
      </w:r>
      <w:r>
        <w:t>The edge authenticates transport and applies traffic controls before forwarding to a healthy application node.</w:t>
      </w:r>
    </w:p>
    <w:p>
      <w:pPr>
        <w:pStyle w:val="BodyText"/>
        <w:ind w:left="360" w:hanging="360"/>
      </w:pPr>
      <w:r>
        <w:rPr>
          <w:b/>
        </w:rPr>
        <w:t xml:space="preserve">2.  </w:t>
      </w:r>
      <w:r>
        <w:t>The application validates the session or token, evaluates policy and data scope, validates input, and creates a correlation ID.</w:t>
      </w:r>
    </w:p>
    <w:p>
      <w:pPr>
        <w:pStyle w:val="BodyText"/>
        <w:ind w:left="360" w:hanging="360"/>
      </w:pPr>
      <w:r>
        <w:rPr>
          <w:b/>
        </w:rPr>
        <w:t xml:space="preserve">3.  </w:t>
      </w:r>
      <w:r>
        <w:t>The responsible domain service executes a transaction against owned tables and writes audit and outbox records in the same commit.</w:t>
      </w:r>
    </w:p>
    <w:p>
      <w:pPr>
        <w:pStyle w:val="BodyText"/>
        <w:ind w:left="360" w:hanging="360"/>
      </w:pPr>
      <w:r>
        <w:rPr>
          <w:b/>
        </w:rPr>
        <w:t xml:space="preserve">4.  </w:t>
      </w:r>
      <w:r>
        <w:t>The response returns only authorized fields and exposes a stable operation or resource identifier.</w:t>
      </w:r>
    </w:p>
    <w:p>
      <w:pPr>
        <w:pStyle w:val="BodyText"/>
        <w:ind w:left="360" w:hanging="360"/>
      </w:pPr>
      <w:r>
        <w:rPr>
          <w:b/>
        </w:rPr>
        <w:t xml:space="preserve">5.  </w:t>
      </w:r>
      <w:r>
        <w:t>Outbox events are published to background workers for notification, indexing, analytics, document generation, or external integration.</w:t>
      </w:r>
    </w:p>
    <w:p>
      <w:pPr>
        <w:pStyle w:val="Heading2"/>
      </w:pPr>
      <w:r>
        <w:t>4.2 Background Job Standard</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08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5"/>
              </w:rPr>
              <w:t>Control</w:t>
            </w:r>
          </w:p>
        </w:tc>
        <w:tc>
          <w:tcPr>
            <w:tcW w:type="dxa" w:w="81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5"/>
              </w:rPr>
              <w:t>Target behavior</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Idempotency</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A stable key prevents duplicate import, payment, notification, report, or document effects.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Retry</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Transient failures use bounded exponential backoff; permanent failures move to a dead-letter state.</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Visibility</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Job state, attempts, duration, error classification, correlation ID, and owning module are monitored.</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Authorization</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A job carries purpose and scope references but revalidates current authority for sensitive release actions.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Data consistency</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Transactional outbox prevents a database commit from losing its corresponding event.</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Recovery</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Operators can safely retry, cancel, or compensate without duplicating business outcomes.</w:t>
            </w:r>
          </w:p>
        </w:tc>
      </w:tr>
    </w:tbl>
    <w:p>
      <w:pPr>
        <w:spacing w:after="0"/>
      </w:pPr>
    </w:p>
    <w:p>
      <w:pPr>
        <w:pStyle w:val="Heading2"/>
      </w:pPr>
      <w:r>
        <w:t>4.3 Integration Pattern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1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Integration</w:t>
            </w:r>
          </w:p>
        </w:tc>
        <w:tc>
          <w:tcPr>
            <w:tcW w:type="dxa" w:w="345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Pattern</w:t>
            </w:r>
          </w:p>
        </w:tc>
        <w:tc>
          <w:tcPr>
            <w:tcW w:type="dxa" w:w="475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Controls</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Email and SMS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Queued outbound notification</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Approved template, recipient validation, limited sensitive data, retries, delivery status</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Payments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Signed API plus webhook and reconciliation</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Idempotency, amount and reference checks, callback authentication, daily settlement</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Government reporting</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Approved export or API adapter</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Dataset validation, maker-checker approval, submission receipt, retention</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File exchange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Private object storage and controlled transfer</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Malware scan, checksum, schema validation, quarantine, expiration</w:t>
            </w:r>
          </w:p>
        </w:tc>
      </w:tr>
    </w:tbl>
    <w:p>
      <w:pPr>
        <w:spacing w:after="0"/>
      </w:pPr>
    </w:p>
    <w:p>
      <w:r>
        <w:br w:type="page"/>
      </w:r>
    </w:p>
    <w:p>
      <w:pPr>
        <w:pStyle w:val="Heading1"/>
      </w:pPr>
      <w:r>
        <w:t>5 Target Deployment Architecture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Tier</w:t>
            </w:r>
          </w:p>
        </w:tc>
        <w:tc>
          <w:tcPr>
            <w:tcW w:type="dxa" w:w="496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Minimum production topology</w:t>
            </w:r>
          </w:p>
        </w:tc>
        <w:tc>
          <w:tcPr>
            <w:tcW w:type="dxa" w:w="331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Scaling and recovery</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Edge</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Redundant load balancer or managed ingress with WAF and TLS</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Health-based routing and protected administrative endpoints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Web application</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At least two stateless application instances</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Horizontal scale; rolling or blue-green deployment; no local durable state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Workers</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Separate worker pools by priority and risk</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Scale report, notification, import, document, and integration queues independently</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Database</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Managed or clustered relational primary with standby and read replica</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Automated backup, point-in-time recovery, tested failover, reporting isolation</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Cache and session</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Highly available Redis-compatible service</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Short-lived state only; eviction must not lose official business evidence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Queue</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Durable broker or managed queue</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Acknowledgement, retry, dead letter, monitoring, and idempotency</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Files</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Private versioned object storage</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Encryption, lifecycle, signed download, replication, restore testing</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Observability</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Central logs, metrics, tracing, alerting, SIEM</w:t>
            </w:r>
          </w:p>
        </w:tc>
        <w:tc>
          <w:tcPr>
            <w:tcW w:type="dxa" w:w="331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Correlation across edge, web, worker, database, and integrations</w:t>
            </w:r>
          </w:p>
        </w:tc>
      </w:tr>
    </w:tbl>
    <w:p>
      <w:pPr>
        <w:spacing w:after="0"/>
      </w:pPr>
    </w:p>
    <w:p>
      <w:pPr>
        <w:pStyle w:val="Heading2"/>
      </w:pPr>
      <w:r>
        <w:t>5.1 Environment Separation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94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Environment</w:t>
            </w:r>
          </w:p>
        </w:tc>
        <w:tc>
          <w:tcPr>
            <w:tcW w:type="dxa" w:w="41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Data rule</w:t>
            </w:r>
          </w:p>
        </w:tc>
        <w:tc>
          <w:tcPr>
            <w:tcW w:type="dxa" w:w="41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Release rule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Development</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Synthetic or approved masked data only</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Developer-controlled build with automated checks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Test and UAT</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Representative masked data with controlled refresh</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Release candidate, migration rehearsal, security and UAT evidence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Production</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Authoritative institutional data</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Approved immutable artifact; no direct source edits on server</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Disaster recovery</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Replicated or restorable encrypted production data</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Controlled activation and failback exercise</w:t>
            </w:r>
          </w:p>
        </w:tc>
      </w:tr>
    </w:tbl>
    <w:p>
      <w:pPr>
        <w:spacing w:after="0"/>
      </w:pPr>
    </w:p>
    <w:p>
      <w:pPr>
        <w:pStyle w:val="Heading2"/>
      </w:pPr>
      <w:r>
        <w:t>5.2 Backup and Disaster Recovery</w:t>
      </w:r>
    </w:p>
    <w:p>
      <w:pPr>
        <w:pStyle w:val="ListBullet"/>
      </w:pPr>
      <w:r>
        <w:t>Define approved recovery point and recovery time objectives for transactions, documents, audit evidence, and integration state.</w:t>
      </w:r>
    </w:p>
    <w:p>
      <w:pPr>
        <w:pStyle w:val="ListBullet"/>
      </w:pPr>
      <w:r>
        <w:t>Encrypt backups, separate administration, protect against deletion, and monitor completion and age.</w:t>
      </w:r>
    </w:p>
    <w:p>
      <w:pPr>
        <w:pStyle w:val="ListBullet"/>
      </w:pPr>
      <w:r>
        <w:t>Restore the database, object versions, secrets, queue state, and application release into an isolated environment on a scheduled basis.</w:t>
      </w:r>
    </w:p>
    <w:p>
      <w:pPr>
        <w:pStyle w:val="ListBullet"/>
      </w:pPr>
      <w:r>
        <w:t>Reconcile restored files to database records and verify login, enrollment, grading, documents, reports, and audit workflows.</w:t>
      </w:r>
    </w:p>
    <w:p>
      <w:r>
        <w:br w:type="page"/>
      </w:r>
    </w:p>
    <w:p>
      <w:pPr>
        <w:pStyle w:val="Heading1"/>
      </w:pPr>
      <w:r>
        <w:t>6 Target Security Architecture</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23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Control area</w:t>
            </w:r>
          </w:p>
        </w:tc>
        <w:tc>
          <w:tcPr>
            <w:tcW w:type="dxa" w:w="79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Target requirement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Identity assurance</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Unique accounts, MFA for privileged and sensitive roles, controlled recovery, lifecycle integration, and periodic certification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Authorization</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Policy-based role, permission, course, record, purpose, and action scope enforced in application services and queries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Secrets and keys</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Central secrets manager, short-lived credentials where possible, rotation, key separation, and no secrets in source or logs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Data protection</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TLS, database and object encryption, sensitive-field minimization, masking, controlled export, and secure disposal</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Application security</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Dependency scanning, static and dynamic testing, secure headers, CSRF, rate limits, file quarantine, output encoding</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Privileged operations</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Separate administrative plane, MFA, approval for high-risk actions, session monitoring, and break-glass review</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Audit and detection</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Tamper-resistant audit stream, SIEM correlation, alerts for access denial spikes, bulk export, grade and account changes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Incident response</w:t>
            </w:r>
          </w:p>
        </w:tc>
        <w:tc>
          <w:tcPr>
            <w:tcW w:type="dxa" w:w="79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Classification, containment, evidence preservation, notification decision, recovery, and lessons learned</w:t>
            </w:r>
          </w:p>
        </w:tc>
      </w:tr>
    </w:tbl>
    <w:p>
      <w:pPr>
        <w:spacing w:after="0"/>
      </w:pPr>
    </w:p>
    <w:p>
      <w:pPr>
        <w:pStyle w:val="Heading2"/>
      </w:pPr>
      <w:r>
        <w:t>6.1 Threat Control Matrix</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Threat</w:t>
            </w:r>
          </w:p>
        </w:tc>
        <w:tc>
          <w:tcPr>
            <w:tcW w:type="dxa" w:w="41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Prevent</w:t>
            </w:r>
          </w:p>
        </w:tc>
        <w:tc>
          <w:tcPr>
            <w:tcW w:type="dxa" w:w="388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Detect and respond</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Account takeover</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MFA, secure recovery, rate limits, session controls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Login anomaly alert, session revocation, credential reset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Horizontal data access</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Central policy and scoped queries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Denied-access monitoring and cross-course test suite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Grade or record tampering</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Maker-checker, versioning, transactions, least privilege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Before-and-after audit, reconciliation, alert on unusual changes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Malicious upload</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Allowlist, size limit, content inspection, private quarantine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Malware alert, file isolation, investigation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Bulk data exfiltration</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Export permission, field minimization, row limits, approval</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Volume and time anomaly alert, recipient and purpose trace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Ransomware or deletion</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Separated immutable backups and least privilege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Integrity monitoring and recovery playbook</w:t>
            </w:r>
          </w:p>
        </w:tc>
      </w:tr>
    </w:tbl>
    <w:p>
      <w:pPr>
        <w:spacing w:after="0"/>
      </w:pPr>
    </w:p>
    <w:p>
      <w:r>
        <w:br w:type="page"/>
      </w:r>
    </w:p>
    <w:p>
      <w:pPr>
        <w:pStyle w:val="Heading1"/>
      </w:pPr>
      <w:r>
        <w:t>7 Observability and Service Management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1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Signal</w:t>
            </w:r>
          </w:p>
        </w:tc>
        <w:tc>
          <w:tcPr>
            <w:tcW w:type="dxa" w:w="532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Required dimensions</w:t>
            </w:r>
          </w:p>
        </w:tc>
        <w:tc>
          <w:tcPr>
            <w:tcW w:type="dxa" w:w="288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Representative alert</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Request metrics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Route, module, status, duration, instance, correlation ID</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Error rate or latency exceeds service objective</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Job metrics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Queue, job type, age, attempts, duration, result</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Oldest job or dead-letter count exceeds threshold</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Database metrics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Connection use, query latency, locks, replication lag, storage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Lock wait, replica lag, or storage growth threatens service</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Business controls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Enrollment counts, grade posting, document generation, payment reconciliation, report validation</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Control total or expected workflow volume diverges</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Security events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Identity, action, scope, target, result, device or network context</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Privilege change, bulk export, repeated denial, unusual login</w:t>
            </w:r>
          </w:p>
        </w:tc>
      </w:tr>
      <w:tr>
        <w:trPr>
          <w:cantSplit/>
        </w:trPr>
        <w:tc>
          <w:tcPr>
            <w:tcW w:type="dxa" w:w="201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Backup signals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Dataset, completion, age, size, restore verification</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Backup failed or restore test is overdue</w:t>
            </w:r>
          </w:p>
        </w:tc>
      </w:tr>
    </w:tbl>
    <w:p>
      <w:pPr>
        <w:spacing w:after="0"/>
      </w:pPr>
    </w:p>
    <w:p>
      <w:pPr>
        <w:pStyle w:val="Heading2"/>
      </w:pPr>
      <w:r>
        <w:t>7.1 Target Service Levels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Measure</w:t>
            </w:r>
          </w:p>
        </w:tc>
        <w:tc>
          <w:tcPr>
            <w:tcW w:type="dxa" w:w="468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Initial target for approval</w:t>
            </w:r>
          </w:p>
        </w:tc>
        <w:tc>
          <w:tcPr>
            <w:tcW w:type="dxa" w:w="345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Evidence</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Interactive availability</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Defined institutional objective excluding approved maintenance</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Synthetic checks and monthly report</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Page response</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95 percent of normal interactive requests within 3 seconds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Application performance monitoring</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Report preview</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95 percent of normal scoped previews within 5 seconds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Report telemetry</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Recovery</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RPO and RTO approved by data owners for each class</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Quarterly restore and annual failover exercise</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Security remediation</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Severity-based target with exception approval</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Vulnerability register and deployment evidence</w:t>
            </w:r>
          </w:p>
        </w:tc>
      </w:tr>
    </w:tbl>
    <w:p>
      <w:pPr>
        <w:spacing w:after="0"/>
      </w:pPr>
    </w:p>
    <w:p>
      <w:pPr>
        <w:pStyle w:val="Heading2"/>
      </w:pPr>
      <w:r>
        <w:t>7.2 Architecture Governance</w:t>
      </w:r>
    </w:p>
    <w:p>
      <w:pPr>
        <w:pStyle w:val="ListBullet"/>
      </w:pPr>
      <w:r>
        <w:t>Record material technology, boundary, data, security, and integration decisions in architecture decision records.</w:t>
      </w:r>
    </w:p>
    <w:p>
      <w:pPr>
        <w:pStyle w:val="ListBullet"/>
      </w:pPr>
      <w:r>
        <w:t>Require threat modeling and privacy review for new sensitive workflows or integrations.</w:t>
      </w:r>
    </w:p>
    <w:p>
      <w:pPr>
        <w:pStyle w:val="ListBullet"/>
      </w:pPr>
      <w:r>
        <w:t>Maintain route and API contracts, domain ownership, data catalogue, event catalogue, and dependency inventory.</w:t>
      </w:r>
    </w:p>
    <w:p>
      <w:pPr>
        <w:pStyle w:val="ListBullet"/>
      </w:pPr>
      <w:r>
        <w:t>Review service levels, capacity, access, backups, incidents, and technical debt on an agreed cycle.</w:t>
      </w:r>
    </w:p>
    <w:p>
      <w:r>
        <w:br w:type="page"/>
      </w:r>
    </w:p>
    <w:p>
      <w:pPr>
        <w:pStyle w:val="Heading1"/>
      </w:pPr>
      <w:r>
        <w:t>8 Migration from PLP Demo</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80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Phase</w:t>
            </w:r>
          </w:p>
        </w:tc>
        <w:tc>
          <w:tcPr>
            <w:tcW w:type="dxa" w:w="475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Outcome</w:t>
            </w:r>
          </w:p>
        </w:tc>
        <w:tc>
          <w:tcPr>
            <w:tcW w:type="dxa" w:w="3671"/>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Entry and exit gate</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1 Baseline</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Measured inventory, owners, tests, security findings, and data-quality profile</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Current behavior and critical records can be reproduced</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2 Platform upgrade</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Supported language, framework, libraries, and build chain</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Characterization, security, and performance tests pass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3 Shared controls</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Central policy, audit, academic period, files, notifications, reporting, and jobs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No protected path bypasses shared controls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4 Data modernization</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Canonical people, academic period, enrollment, grade, document, and reporting models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Migration reconciliation and rollback or forward-fix rehearsal pass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5 Scalable runtime</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Stateless web nodes, shared session and cache, durable queue, private object storage</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Node loss and job retry do not corrupt outcomes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6 Reporting isolation</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Read replica or governed analytics store and semantic definitions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Dashboards and reports reconcile without harming transactions</w:t>
            </w:r>
          </w:p>
        </w:tc>
      </w:tr>
      <w:tr>
        <w:trPr>
          <w:cantSplit/>
        </w:trP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7 Production transition</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Controlled cutover, monitoring, support, recovery readiness</w:t>
            </w:r>
          </w:p>
        </w:tc>
        <w:tc>
          <w:tcPr>
            <w:tcW w:type="dxa" w:w="3671"/>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Business owners sign reconciliation and rollback criteria</w:t>
            </w:r>
          </w:p>
        </w:tc>
      </w:tr>
    </w:tbl>
    <w:p>
      <w:pPr>
        <w:spacing w:after="0"/>
      </w:pPr>
    </w:p>
    <w:p>
      <w:pPr>
        <w:pStyle w:val="Heading2"/>
      </w:pPr>
      <w:r>
        <w:t>8.1 Target Architecture Definition of Done</w:t>
      </w:r>
    </w:p>
    <w:p>
      <w:pPr>
        <w:pStyle w:val="ListBullet"/>
      </w:pPr>
      <w:r>
        <w:t>Bounded contexts, interfaces, owners, data stores, trust zones, and failure modes are approved.</w:t>
      </w:r>
    </w:p>
    <w:p>
      <w:pPr>
        <w:pStyle w:val="ListBullet"/>
      </w:pPr>
      <w:r>
        <w:t>Security, privacy, data integrity, accessibility, performance, availability, and recovery controls have passing evidence.</w:t>
      </w:r>
    </w:p>
    <w:p>
      <w:pPr>
        <w:pStyle w:val="ListBullet"/>
      </w:pPr>
      <w:r>
        <w:t>Deployments are automated, repeatable, reversible or forward-fix capable, and independent of manual server edits.</w:t>
      </w:r>
    </w:p>
    <w:p>
      <w:pPr>
        <w:pStyle w:val="ListBullet"/>
      </w:pPr>
      <w:r>
        <w:t>All background and integration work is idempotent, observable, retryable, and reconcilable.</w:t>
      </w:r>
    </w:p>
    <w:p>
      <w:pPr>
        <w:pStyle w:val="ListBullet"/>
      </w:pPr>
      <w:r>
        <w:t>Production operations have dashboards, alerts, runbooks, escalation ownership, backups, and tested restoration.</w:t>
      </w:r>
    </w:p>
    <w:sectPr w:rsidR="00FC693F" w:rsidRPr="0006063C" w:rsidSect="00034616">
      <w:footerReference w:type="default" r:id="rId9"/>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E6D65"/>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2D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9" w:lineRule="auto"/>
    </w:pPr>
    <w:rPr>
      <w:rFonts w:ascii="Aptos" w:hAnsi="Aptos"/>
      <w:color w:val="1F2D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Aptos" w:hAnsi="Aptos"/>
      <w:color w:val="1F2D27"/>
      <w:sz w:val="18"/>
    </w:rPr>
  </w:style>
  <w:style w:type="paragraph" w:styleId="ListBullet2">
    <w:name w:val="List Bullet 2"/>
    <w:basedOn w:val="Normal"/>
    <w:uiPriority w:val="99"/>
    <w:unhideWhenUsed/>
    <w:rsid w:val="00326F90"/>
    <w:pPr>
      <w:numPr>
        <w:numId w:val="2"/>
      </w:numPr>
      <w:spacing w:after="80" w:line="259" w:lineRule="auto"/>
      <w:contextualSpacing/>
    </w:pPr>
    <w:rPr>
      <w:rFonts w:ascii="Aptos" w:hAnsi="Aptos"/>
      <w:color w:val="1F2D27"/>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Aptos" w:hAnsi="Aptos"/>
      <w:color w:val="1F2D27"/>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PLP System Target Architecture Documentation</dc:title>
  <dc:subject>Proposed target PLP System architecture</dc:subject>
  <dc:creator>Pamantasan ng Lungsod ng Pasig</dc:creator>
  <cp:keywords/>
  <dc:description>Editable system design documentation</dc:description>
  <cp:lastModifiedBy/>
  <cp:revision>1</cp:revision>
  <dcterms:created xsi:type="dcterms:W3CDTF">2013-12-23T23:15:00Z</dcterms:created>
  <dcterms:modified xsi:type="dcterms:W3CDTF">2013-12-23T23:15:00Z</dcterms:modified>
  <cp:category/>
</cp:coreProperties>
</file>