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5CA5A" w14:textId="77777777" w:rsidR="00A84B1C" w:rsidRPr="00EC21D9" w:rsidRDefault="00000000" w:rsidP="00784D18">
      <w:pPr>
        <w:spacing w:after="255" w:line="259" w:lineRule="auto"/>
        <w:ind w:left="134" w:firstLine="0"/>
        <w:jc w:val="center"/>
        <w:rPr>
          <w:rFonts w:ascii="Times New Roman" w:hAnsi="Times New Roman" w:cs="Times New Roman"/>
          <w:b/>
          <w:bCs/>
        </w:rPr>
      </w:pPr>
      <w:proofErr w:type="spellStart"/>
      <w:r w:rsidRPr="00EC21D9">
        <w:rPr>
          <w:rFonts w:ascii="Times New Roman" w:hAnsi="Times New Roman" w:cs="Times New Roman"/>
          <w:b/>
          <w:bCs/>
          <w:sz w:val="34"/>
        </w:rPr>
        <w:t>HydraXAI</w:t>
      </w:r>
      <w:proofErr w:type="spellEnd"/>
      <w:r w:rsidRPr="00EC21D9">
        <w:rPr>
          <w:rFonts w:ascii="Times New Roman" w:hAnsi="Times New Roman" w:cs="Times New Roman"/>
          <w:b/>
          <w:bCs/>
          <w:sz w:val="34"/>
        </w:rPr>
        <w:t>: A Physically-Grounded Machine Learning</w:t>
      </w:r>
    </w:p>
    <w:p w14:paraId="31F08B47" w14:textId="77777777" w:rsidR="00A84B1C" w:rsidRPr="00EC21D9" w:rsidRDefault="00000000" w:rsidP="00784D18">
      <w:pPr>
        <w:spacing w:after="255" w:line="259" w:lineRule="auto"/>
        <w:jc w:val="center"/>
        <w:rPr>
          <w:rFonts w:ascii="Times New Roman" w:hAnsi="Times New Roman" w:cs="Times New Roman"/>
          <w:b/>
          <w:bCs/>
        </w:rPr>
      </w:pPr>
      <w:r w:rsidRPr="00EC21D9">
        <w:rPr>
          <w:rFonts w:ascii="Times New Roman" w:hAnsi="Times New Roman" w:cs="Times New Roman"/>
          <w:b/>
          <w:bCs/>
          <w:sz w:val="34"/>
        </w:rPr>
        <w:t>Framework for Regional Flood Hazard</w:t>
      </w:r>
    </w:p>
    <w:p w14:paraId="741BFF8D" w14:textId="77777777" w:rsidR="00A84B1C" w:rsidRPr="00EC21D9" w:rsidRDefault="00000000">
      <w:pPr>
        <w:pStyle w:val="Heading1"/>
        <w:spacing w:after="325"/>
        <w:ind w:left="10"/>
        <w:rPr>
          <w:rFonts w:ascii="Times New Roman" w:hAnsi="Times New Roman" w:cs="Times New Roman"/>
        </w:rPr>
      </w:pPr>
      <w:r w:rsidRPr="00EC21D9">
        <w:rPr>
          <w:rFonts w:ascii="Times New Roman" w:hAnsi="Times New Roman" w:cs="Times New Roman"/>
        </w:rPr>
        <w:t>Characterization</w:t>
      </w:r>
    </w:p>
    <w:p w14:paraId="7127BF7A" w14:textId="77777777" w:rsidR="00A84B1C" w:rsidRPr="00EC21D9" w:rsidRDefault="00000000">
      <w:pPr>
        <w:spacing w:after="130" w:line="265" w:lineRule="auto"/>
        <w:jc w:val="center"/>
        <w:rPr>
          <w:rFonts w:ascii="Times New Roman" w:hAnsi="Times New Roman" w:cs="Times New Roman"/>
          <w:b/>
          <w:bCs/>
        </w:rPr>
      </w:pPr>
      <w:r w:rsidRPr="00EC21D9">
        <w:rPr>
          <w:rFonts w:ascii="Times New Roman" w:hAnsi="Times New Roman" w:cs="Times New Roman"/>
          <w:b/>
          <w:bCs/>
          <w:sz w:val="24"/>
        </w:rPr>
        <w:t>Rushabh Sunil Ahire</w:t>
      </w:r>
    </w:p>
    <w:p w14:paraId="1CE9A3E2" w14:textId="77777777" w:rsidR="00A84B1C" w:rsidRPr="00EC21D9" w:rsidRDefault="00000000">
      <w:pPr>
        <w:spacing w:after="274" w:line="259" w:lineRule="auto"/>
        <w:ind w:left="0" w:firstLine="0"/>
        <w:jc w:val="center"/>
        <w:rPr>
          <w:rFonts w:ascii="Times New Roman" w:hAnsi="Times New Roman" w:cs="Times New Roman"/>
          <w:b/>
          <w:bCs/>
        </w:rPr>
      </w:pPr>
      <w:r w:rsidRPr="00EC21D9">
        <w:rPr>
          <w:rFonts w:ascii="Times New Roman" w:hAnsi="Times New Roman" w:cs="Times New Roman"/>
          <w:b/>
          <w:bCs/>
          <w:sz w:val="20"/>
        </w:rPr>
        <w:t>Independent Researcher</w:t>
      </w:r>
    </w:p>
    <w:p w14:paraId="4A40D29E" w14:textId="77777777" w:rsidR="00A84B1C" w:rsidRPr="00EC21D9" w:rsidRDefault="00000000">
      <w:pPr>
        <w:spacing w:after="632" w:line="265" w:lineRule="auto"/>
        <w:jc w:val="center"/>
        <w:rPr>
          <w:rFonts w:ascii="Times New Roman" w:hAnsi="Times New Roman" w:cs="Times New Roman"/>
        </w:rPr>
      </w:pPr>
      <w:r w:rsidRPr="00EC21D9">
        <w:rPr>
          <w:rFonts w:ascii="Times New Roman" w:hAnsi="Times New Roman" w:cs="Times New Roman"/>
          <w:sz w:val="24"/>
        </w:rPr>
        <w:t>June 25, 2026</w:t>
      </w:r>
    </w:p>
    <w:p w14:paraId="33DCD61C" w14:textId="77777777" w:rsidR="00A84B1C" w:rsidRPr="00EC21D9" w:rsidRDefault="00000000">
      <w:pPr>
        <w:spacing w:after="264" w:line="259" w:lineRule="auto"/>
        <w:ind w:left="0" w:firstLine="0"/>
        <w:jc w:val="center"/>
        <w:rPr>
          <w:rFonts w:ascii="Times New Roman" w:hAnsi="Times New Roman" w:cs="Times New Roman"/>
          <w:b/>
          <w:bCs/>
          <w:sz w:val="28"/>
          <w:szCs w:val="28"/>
        </w:rPr>
      </w:pPr>
      <w:r w:rsidRPr="00EC21D9">
        <w:rPr>
          <w:rFonts w:ascii="Times New Roman" w:hAnsi="Times New Roman" w:cs="Times New Roman"/>
          <w:b/>
          <w:bCs/>
          <w:sz w:val="28"/>
          <w:szCs w:val="28"/>
        </w:rPr>
        <w:t>Abstract</w:t>
      </w:r>
    </w:p>
    <w:p w14:paraId="3A0EBA6D" w14:textId="77777777" w:rsidR="00A84B1C" w:rsidRPr="00EC21D9" w:rsidRDefault="00000000">
      <w:pPr>
        <w:spacing w:after="568" w:line="387" w:lineRule="auto"/>
        <w:ind w:left="545" w:right="546" w:firstLine="299"/>
        <w:rPr>
          <w:rFonts w:ascii="Times New Roman" w:hAnsi="Times New Roman" w:cs="Times New Roman"/>
        </w:rPr>
      </w:pPr>
      <w:r w:rsidRPr="00EC21D9">
        <w:rPr>
          <w:rFonts w:ascii="Times New Roman" w:hAnsi="Times New Roman" w:cs="Times New Roman"/>
          <w:sz w:val="20"/>
        </w:rPr>
        <w:t xml:space="preserve">Predictive </w:t>
      </w:r>
      <w:proofErr w:type="spellStart"/>
      <w:r w:rsidRPr="00EC21D9">
        <w:rPr>
          <w:rFonts w:ascii="Times New Roman" w:hAnsi="Times New Roman" w:cs="Times New Roman"/>
          <w:sz w:val="20"/>
        </w:rPr>
        <w:t>modeling</w:t>
      </w:r>
      <w:proofErr w:type="spellEnd"/>
      <w:r w:rsidRPr="00EC21D9">
        <w:rPr>
          <w:rFonts w:ascii="Times New Roman" w:hAnsi="Times New Roman" w:cs="Times New Roman"/>
          <w:sz w:val="20"/>
        </w:rPr>
        <w:t xml:space="preserve"> of flood susceptibility is frequently constrained by </w:t>
      </w:r>
      <w:proofErr w:type="gramStart"/>
      <w:r w:rsidRPr="00EC21D9">
        <w:rPr>
          <w:rFonts w:ascii="Times New Roman" w:hAnsi="Times New Roman" w:cs="Times New Roman"/>
          <w:sz w:val="20"/>
        </w:rPr>
        <w:t>the ”</w:t>
      </w:r>
      <w:proofErr w:type="spellStart"/>
      <w:r w:rsidRPr="00EC21D9">
        <w:rPr>
          <w:rFonts w:ascii="Times New Roman" w:hAnsi="Times New Roman" w:cs="Times New Roman"/>
          <w:sz w:val="20"/>
        </w:rPr>
        <w:t>blackbox</w:t>
      </w:r>
      <w:proofErr w:type="spellEnd"/>
      <w:proofErr w:type="gramEnd"/>
      <w:r w:rsidRPr="00EC21D9">
        <w:rPr>
          <w:rFonts w:ascii="Times New Roman" w:hAnsi="Times New Roman" w:cs="Times New Roman"/>
          <w:sz w:val="20"/>
        </w:rPr>
        <w:t xml:space="preserve">” nature of high-dimensional machine learning architectures. This paper introduces </w:t>
      </w:r>
      <w:proofErr w:type="spellStart"/>
      <w:r w:rsidRPr="00EC21D9">
        <w:rPr>
          <w:rFonts w:ascii="Times New Roman" w:hAnsi="Times New Roman" w:cs="Times New Roman"/>
          <w:sz w:val="20"/>
        </w:rPr>
        <w:t>HydraXAI</w:t>
      </w:r>
      <w:proofErr w:type="spellEnd"/>
      <w:r w:rsidRPr="00EC21D9">
        <w:rPr>
          <w:rFonts w:ascii="Times New Roman" w:hAnsi="Times New Roman" w:cs="Times New Roman"/>
          <w:sz w:val="20"/>
        </w:rPr>
        <w:t xml:space="preserve">, a novel, interpretable framework designed to bridge the gap between stochastic predictive performance and geomorphological consistency. By integrating multi-modal data fusion and employing </w:t>
      </w:r>
      <w:r w:rsidRPr="00EC21D9">
        <w:rPr>
          <w:rFonts w:ascii="Times New Roman" w:hAnsi="Times New Roman" w:cs="Times New Roman"/>
          <w:i/>
          <w:sz w:val="20"/>
        </w:rPr>
        <w:t>Spatial-Block Cross-Validation</w:t>
      </w:r>
      <w:r w:rsidRPr="00EC21D9">
        <w:rPr>
          <w:rFonts w:ascii="Times New Roman" w:hAnsi="Times New Roman" w:cs="Times New Roman"/>
          <w:sz w:val="20"/>
        </w:rPr>
        <w:t xml:space="preserve">, </w:t>
      </w:r>
      <w:proofErr w:type="spellStart"/>
      <w:r w:rsidRPr="00EC21D9">
        <w:rPr>
          <w:rFonts w:ascii="Times New Roman" w:hAnsi="Times New Roman" w:cs="Times New Roman"/>
          <w:sz w:val="20"/>
        </w:rPr>
        <w:t>HydraXAI</w:t>
      </w:r>
      <w:proofErr w:type="spellEnd"/>
      <w:r w:rsidRPr="00EC21D9">
        <w:rPr>
          <w:rFonts w:ascii="Times New Roman" w:hAnsi="Times New Roman" w:cs="Times New Roman"/>
          <w:sz w:val="20"/>
        </w:rPr>
        <w:t xml:space="preserve"> demonstrates robust predictive power (AUC-ROC: 0.88). Crucially, the framework utilizes SHAP-based auditing to confirm that risk predictions are aligned with primary hydrological drivers, specifically the Topographic Wetness Index (TWI).</w:t>
      </w:r>
    </w:p>
    <w:p w14:paraId="6212C1A9" w14:textId="77777777" w:rsidR="00A84B1C" w:rsidRPr="00EC21D9" w:rsidRDefault="00000000">
      <w:pPr>
        <w:pStyle w:val="Heading2"/>
        <w:tabs>
          <w:tab w:val="center" w:pos="1209"/>
        </w:tabs>
        <w:ind w:left="-15" w:firstLine="0"/>
        <w:rPr>
          <w:rFonts w:ascii="Times New Roman" w:hAnsi="Times New Roman" w:cs="Times New Roman"/>
          <w:b/>
          <w:bCs/>
        </w:rPr>
      </w:pPr>
      <w:r w:rsidRPr="00EC21D9">
        <w:rPr>
          <w:rFonts w:ascii="Times New Roman" w:hAnsi="Times New Roman" w:cs="Times New Roman"/>
          <w:b/>
          <w:bCs/>
        </w:rPr>
        <w:t>1</w:t>
      </w:r>
      <w:r w:rsidRPr="00EC21D9">
        <w:rPr>
          <w:rFonts w:ascii="Times New Roman" w:hAnsi="Times New Roman" w:cs="Times New Roman"/>
          <w:b/>
          <w:bCs/>
        </w:rPr>
        <w:tab/>
        <w:t>Introduction</w:t>
      </w:r>
    </w:p>
    <w:p w14:paraId="049C56FA" w14:textId="77777777" w:rsidR="00A84B1C" w:rsidRPr="00EC21D9" w:rsidRDefault="00000000">
      <w:pPr>
        <w:ind w:left="-5"/>
        <w:rPr>
          <w:rFonts w:ascii="Times New Roman" w:hAnsi="Times New Roman" w:cs="Times New Roman"/>
        </w:rPr>
      </w:pPr>
      <w:r w:rsidRPr="00EC21D9">
        <w:rPr>
          <w:rFonts w:ascii="Times New Roman" w:hAnsi="Times New Roman" w:cs="Times New Roman"/>
        </w:rPr>
        <w:t xml:space="preserve">The increasing volatility of extreme precipitation events presents a formidable challenge to disaster risk management infrastructure. Traditional hydrological models, while physically accurate, are often computationally expensive and struggle with the non-linear complexities of rapid land-use changes. </w:t>
      </w:r>
      <w:proofErr w:type="spellStart"/>
      <w:r w:rsidRPr="00EC21D9">
        <w:rPr>
          <w:rFonts w:ascii="Times New Roman" w:hAnsi="Times New Roman" w:cs="Times New Roman"/>
        </w:rPr>
        <w:t>HydraXAI</w:t>
      </w:r>
      <w:proofErr w:type="spellEnd"/>
      <w:r w:rsidRPr="00EC21D9">
        <w:rPr>
          <w:rFonts w:ascii="Times New Roman" w:hAnsi="Times New Roman" w:cs="Times New Roman"/>
        </w:rPr>
        <w:t xml:space="preserve"> addresses this deficit by providing a physically-grounded pipeline that ensures model predictions are actionable.</w:t>
      </w:r>
    </w:p>
    <w:p w14:paraId="7CC15B7B" w14:textId="77777777" w:rsidR="00A84B1C" w:rsidRPr="00EC21D9" w:rsidRDefault="00000000">
      <w:pPr>
        <w:pStyle w:val="Heading2"/>
        <w:tabs>
          <w:tab w:val="center" w:pos="2126"/>
        </w:tabs>
        <w:ind w:left="-15" w:firstLine="0"/>
        <w:rPr>
          <w:rFonts w:ascii="Times New Roman" w:hAnsi="Times New Roman" w:cs="Times New Roman"/>
          <w:b/>
          <w:bCs/>
        </w:rPr>
      </w:pPr>
      <w:r w:rsidRPr="00EC21D9">
        <w:rPr>
          <w:rFonts w:ascii="Times New Roman" w:hAnsi="Times New Roman" w:cs="Times New Roman"/>
          <w:b/>
          <w:bCs/>
        </w:rPr>
        <w:lastRenderedPageBreak/>
        <w:t>2</w:t>
      </w:r>
      <w:r w:rsidRPr="00EC21D9">
        <w:rPr>
          <w:rFonts w:ascii="Times New Roman" w:hAnsi="Times New Roman" w:cs="Times New Roman"/>
          <w:b/>
          <w:bCs/>
        </w:rPr>
        <w:tab/>
        <w:t>Study Area: Western Ghats</w:t>
      </w:r>
    </w:p>
    <w:p w14:paraId="20DF7366" w14:textId="77777777" w:rsidR="00A84B1C" w:rsidRPr="00EC21D9" w:rsidRDefault="00000000">
      <w:pPr>
        <w:ind w:left="-5"/>
        <w:rPr>
          <w:rFonts w:ascii="Times New Roman" w:hAnsi="Times New Roman" w:cs="Times New Roman"/>
        </w:rPr>
      </w:pPr>
      <w:r w:rsidRPr="00EC21D9">
        <w:rPr>
          <w:rFonts w:ascii="Times New Roman" w:hAnsi="Times New Roman" w:cs="Times New Roman"/>
        </w:rPr>
        <w:t xml:space="preserve">The Western Ghats represent a complex orographic region characterized by intense </w:t>
      </w:r>
      <w:proofErr w:type="spellStart"/>
      <w:r w:rsidRPr="00EC21D9">
        <w:rPr>
          <w:rFonts w:ascii="Times New Roman" w:hAnsi="Times New Roman" w:cs="Times New Roman"/>
        </w:rPr>
        <w:t>monsoondriven</w:t>
      </w:r>
      <w:proofErr w:type="spellEnd"/>
      <w:r w:rsidRPr="00EC21D9">
        <w:rPr>
          <w:rFonts w:ascii="Times New Roman" w:hAnsi="Times New Roman" w:cs="Times New Roman"/>
        </w:rPr>
        <w:t xml:space="preserve"> precipitation. The rugged terrain and steep gradients create unique hydrological conditions where surface runoff is highly sensitive to topographical micro-variations. Understanding this terrain is essential for mitigating flood risk in rapidly urbanizing valleys.</w:t>
      </w:r>
    </w:p>
    <w:p w14:paraId="375AD151" w14:textId="77777777" w:rsidR="00A84B1C" w:rsidRPr="00EC21D9" w:rsidRDefault="00000000">
      <w:pPr>
        <w:pStyle w:val="Heading2"/>
        <w:tabs>
          <w:tab w:val="center" w:pos="2138"/>
        </w:tabs>
        <w:spacing w:after="332"/>
        <w:ind w:left="-15" w:firstLine="0"/>
        <w:rPr>
          <w:rFonts w:ascii="Times New Roman" w:hAnsi="Times New Roman" w:cs="Times New Roman"/>
          <w:b/>
          <w:bCs/>
        </w:rPr>
      </w:pPr>
      <w:r w:rsidRPr="00EC21D9">
        <w:rPr>
          <w:rFonts w:ascii="Times New Roman" w:hAnsi="Times New Roman" w:cs="Times New Roman"/>
          <w:b/>
          <w:bCs/>
        </w:rPr>
        <w:t>3</w:t>
      </w:r>
      <w:r w:rsidRPr="00EC21D9">
        <w:rPr>
          <w:rFonts w:ascii="Times New Roman" w:hAnsi="Times New Roman" w:cs="Times New Roman"/>
          <w:b/>
          <w:bCs/>
        </w:rPr>
        <w:tab/>
        <w:t>Methodological Framework</w:t>
      </w:r>
    </w:p>
    <w:p w14:paraId="321CF249" w14:textId="77777777" w:rsidR="00A84B1C" w:rsidRPr="00EC21D9" w:rsidRDefault="00000000">
      <w:pPr>
        <w:tabs>
          <w:tab w:val="center" w:pos="2826"/>
        </w:tabs>
        <w:spacing w:after="279" w:line="259" w:lineRule="auto"/>
        <w:ind w:left="-15" w:firstLine="0"/>
        <w:jc w:val="left"/>
        <w:rPr>
          <w:rFonts w:ascii="Times New Roman" w:hAnsi="Times New Roman" w:cs="Times New Roman"/>
          <w:b/>
          <w:bCs/>
          <w:sz w:val="29"/>
          <w:szCs w:val="29"/>
        </w:rPr>
      </w:pPr>
      <w:r w:rsidRPr="00EC21D9">
        <w:rPr>
          <w:rFonts w:ascii="Times New Roman" w:hAnsi="Times New Roman" w:cs="Times New Roman"/>
          <w:sz w:val="24"/>
        </w:rPr>
        <w:t>3</w:t>
      </w:r>
      <w:r w:rsidRPr="00EC21D9">
        <w:rPr>
          <w:rFonts w:ascii="Times New Roman" w:hAnsi="Times New Roman" w:cs="Times New Roman"/>
          <w:b/>
          <w:bCs/>
          <w:sz w:val="29"/>
          <w:szCs w:val="29"/>
        </w:rPr>
        <w:t>.1</w:t>
      </w:r>
      <w:r w:rsidRPr="00EC21D9">
        <w:rPr>
          <w:rFonts w:ascii="Times New Roman" w:hAnsi="Times New Roman" w:cs="Times New Roman"/>
          <w:b/>
          <w:bCs/>
          <w:sz w:val="29"/>
          <w:szCs w:val="29"/>
        </w:rPr>
        <w:tab/>
        <w:t>Data Preprocessing and Feature Engineering</w:t>
      </w:r>
    </w:p>
    <w:p w14:paraId="73F3C8E8" w14:textId="6B19D01A" w:rsidR="00784D18" w:rsidRPr="00EC21D9" w:rsidRDefault="00784D18" w:rsidP="00784D18">
      <w:pPr>
        <w:spacing w:after="354"/>
        <w:ind w:left="-15" w:firstLine="0"/>
        <w:rPr>
          <w:rFonts w:ascii="Times New Roman" w:hAnsi="Times New Roman" w:cs="Times New Roman"/>
        </w:rPr>
      </w:pPr>
      <w:r w:rsidRPr="00EC21D9">
        <w:rPr>
          <w:rFonts w:ascii="Times New Roman" w:hAnsi="Times New Roman" w:cs="Times New Roman"/>
        </w:rPr>
        <w:t xml:space="preserve"> </w:t>
      </w:r>
      <w:r w:rsidRPr="00EC21D9">
        <w:rPr>
          <w:rFonts w:ascii="Times New Roman" w:hAnsi="Times New Roman" w:cs="Times New Roman"/>
        </w:rPr>
        <w:t xml:space="preserve">The initial phase of the </w:t>
      </w:r>
      <w:proofErr w:type="spellStart"/>
      <w:r w:rsidRPr="00EC21D9">
        <w:rPr>
          <w:rFonts w:ascii="Times New Roman" w:hAnsi="Times New Roman" w:cs="Times New Roman"/>
        </w:rPr>
        <w:t>HydraXAI</w:t>
      </w:r>
      <w:proofErr w:type="spellEnd"/>
      <w:r w:rsidRPr="00EC21D9">
        <w:rPr>
          <w:rFonts w:ascii="Times New Roman" w:hAnsi="Times New Roman" w:cs="Times New Roman"/>
        </w:rPr>
        <w:t xml:space="preserve"> pipeline focused on transforming raw, multi-source satellite imagery into a standardized feature space. The SRTM digital elevation models were subjected to an iterative filtering process to remove noise and atmospheric artifacts that could otherwise introduce bias into the machine learning objective function. Following noise reduction, we employed a Min-Max normalization technique, scaling all continuous variables—specifically elevation, slope, and precipitation intensity indices—to a range of [0, 1]. This normalization is critical to ensure that the </w:t>
      </w:r>
      <w:proofErr w:type="spellStart"/>
      <w:r w:rsidRPr="00EC21D9">
        <w:rPr>
          <w:rFonts w:ascii="Times New Roman" w:hAnsi="Times New Roman" w:cs="Times New Roman"/>
        </w:rPr>
        <w:t>LightGBM</w:t>
      </w:r>
      <w:proofErr w:type="spellEnd"/>
      <w:r w:rsidRPr="00EC21D9">
        <w:rPr>
          <w:rFonts w:ascii="Times New Roman" w:hAnsi="Times New Roman" w:cs="Times New Roman"/>
        </w:rPr>
        <w:t xml:space="preserve"> regressor’s loss function is not disproportionately influenced by the magnitude of individual features, thereby allowing the model to treat elevation and TWI on an equal computational footing.</w:t>
      </w:r>
    </w:p>
    <w:p w14:paraId="12028506" w14:textId="166379A7" w:rsidR="00784D18" w:rsidRPr="00EC21D9" w:rsidRDefault="00784D18" w:rsidP="00784D18">
      <w:pPr>
        <w:spacing w:after="354"/>
        <w:ind w:left="-15" w:firstLine="0"/>
        <w:rPr>
          <w:rFonts w:ascii="Times New Roman" w:hAnsi="Times New Roman" w:cs="Times New Roman"/>
          <w:b/>
          <w:bCs/>
        </w:rPr>
      </w:pPr>
      <w:r w:rsidRPr="00EC21D9">
        <w:rPr>
          <w:rFonts w:ascii="Times New Roman" w:hAnsi="Times New Roman" w:cs="Times New Roman"/>
          <w:b/>
          <w:bCs/>
          <w:sz w:val="29"/>
          <w:szCs w:val="29"/>
        </w:rPr>
        <w:t>3</w:t>
      </w:r>
      <w:r w:rsidRPr="00EC21D9">
        <w:rPr>
          <w:rFonts w:ascii="Times New Roman" w:hAnsi="Times New Roman" w:cs="Times New Roman"/>
          <w:b/>
          <w:bCs/>
        </w:rPr>
        <w:t>.</w:t>
      </w:r>
      <w:r w:rsidRPr="00EC21D9">
        <w:rPr>
          <w:rFonts w:ascii="Times New Roman" w:hAnsi="Times New Roman" w:cs="Times New Roman"/>
          <w:b/>
          <w:bCs/>
          <w:sz w:val="29"/>
          <w:szCs w:val="29"/>
        </w:rPr>
        <w:t>2</w:t>
      </w:r>
      <w:r w:rsidRPr="00EC21D9">
        <w:rPr>
          <w:rFonts w:ascii="Times New Roman" w:hAnsi="Times New Roman" w:cs="Times New Roman"/>
          <w:b/>
          <w:bCs/>
          <w:sz w:val="29"/>
          <w:szCs w:val="29"/>
        </w:rPr>
        <w:t xml:space="preserve"> Bayesian Hyperparameter Optimization</w:t>
      </w:r>
    </w:p>
    <w:p w14:paraId="05B5E4E4" w14:textId="77777777" w:rsidR="00784D18" w:rsidRPr="00EC21D9" w:rsidRDefault="00784D18" w:rsidP="00784D18">
      <w:pPr>
        <w:spacing w:after="354"/>
        <w:ind w:left="-15" w:firstLine="0"/>
        <w:rPr>
          <w:rFonts w:ascii="Times New Roman" w:hAnsi="Times New Roman" w:cs="Times New Roman"/>
        </w:rPr>
      </w:pPr>
      <w:r w:rsidRPr="00EC21D9">
        <w:rPr>
          <w:rFonts w:ascii="Times New Roman" w:hAnsi="Times New Roman" w:cs="Times New Roman"/>
        </w:rPr>
        <w:t xml:space="preserve">To maximize predictive performance, we transitioned from traditional, brute-force Grid Search to a Bayesian Optimization approach for hyperparameter fine-tuning. Unlike Grid Search, which samples the search space uniformly, Bayesian Optimization constructs a probabilistic surrogate model of the objective function, allowing us to converge on optimal parameters with significantly higher efficiency. Key hyperparameters, including </w:t>
      </w:r>
      <w:proofErr w:type="spellStart"/>
      <w:r w:rsidRPr="00EC21D9">
        <w:rPr>
          <w:rFonts w:ascii="Times New Roman" w:hAnsi="Times New Roman" w:cs="Times New Roman"/>
        </w:rPr>
        <w:t>max_depth</w:t>
      </w:r>
      <w:proofErr w:type="spellEnd"/>
      <w:r w:rsidRPr="00EC21D9">
        <w:rPr>
          <w:rFonts w:ascii="Times New Roman" w:hAnsi="Times New Roman" w:cs="Times New Roman"/>
        </w:rPr>
        <w:t xml:space="preserve"> (tree complexity), </w:t>
      </w:r>
      <w:proofErr w:type="spellStart"/>
      <w:r w:rsidRPr="00EC21D9">
        <w:rPr>
          <w:rFonts w:ascii="Times New Roman" w:hAnsi="Times New Roman" w:cs="Times New Roman"/>
        </w:rPr>
        <w:t>learning_rate</w:t>
      </w:r>
      <w:proofErr w:type="spellEnd"/>
      <w:r w:rsidRPr="00EC21D9">
        <w:rPr>
          <w:rFonts w:ascii="Times New Roman" w:hAnsi="Times New Roman" w:cs="Times New Roman"/>
        </w:rPr>
        <w:t xml:space="preserve"> (step size), and </w:t>
      </w:r>
      <w:proofErr w:type="spellStart"/>
      <w:r w:rsidRPr="00EC21D9">
        <w:rPr>
          <w:rFonts w:ascii="Times New Roman" w:hAnsi="Times New Roman" w:cs="Times New Roman"/>
        </w:rPr>
        <w:t>num_leaves</w:t>
      </w:r>
      <w:proofErr w:type="spellEnd"/>
      <w:r w:rsidRPr="00EC21D9">
        <w:rPr>
          <w:rFonts w:ascii="Times New Roman" w:hAnsi="Times New Roman" w:cs="Times New Roman"/>
        </w:rPr>
        <w:t xml:space="preserve">, were tuned to balance the bias-variance trade-off. We specifically optimized for the </w:t>
      </w:r>
      <w:proofErr w:type="spellStart"/>
      <w:r w:rsidRPr="00EC21D9">
        <w:rPr>
          <w:rFonts w:ascii="Times New Roman" w:hAnsi="Times New Roman" w:cs="Times New Roman"/>
        </w:rPr>
        <w:t>binary_logloss</w:t>
      </w:r>
      <w:proofErr w:type="spellEnd"/>
      <w:r w:rsidRPr="00EC21D9">
        <w:rPr>
          <w:rFonts w:ascii="Times New Roman" w:hAnsi="Times New Roman" w:cs="Times New Roman"/>
        </w:rPr>
        <w:t xml:space="preserve"> objective, which was chosen to account for </w:t>
      </w:r>
      <w:r w:rsidRPr="00EC21D9">
        <w:rPr>
          <w:rFonts w:ascii="Times New Roman" w:hAnsi="Times New Roman" w:cs="Times New Roman"/>
        </w:rPr>
        <w:lastRenderedPageBreak/>
        <w:t>the class imbalance inherent in the flood susceptibility dataset, ensuring that the model maintains high sensitivity to flood-prone zones without sacrificing specificity in non-hazard regions.</w:t>
      </w:r>
    </w:p>
    <w:p w14:paraId="3A32DF4D" w14:textId="77777777" w:rsidR="00784D18" w:rsidRPr="00EC21D9" w:rsidRDefault="00784D18" w:rsidP="00784D18">
      <w:pPr>
        <w:spacing w:after="354"/>
        <w:ind w:left="-15" w:firstLine="0"/>
        <w:rPr>
          <w:rFonts w:ascii="Times New Roman" w:hAnsi="Times New Roman" w:cs="Times New Roman"/>
        </w:rPr>
      </w:pPr>
    </w:p>
    <w:p w14:paraId="1B87968A" w14:textId="6A6F6F8E" w:rsidR="00A84B1C" w:rsidRPr="00EC21D9" w:rsidRDefault="00A84B1C">
      <w:pPr>
        <w:spacing w:after="354"/>
        <w:ind w:left="-5"/>
        <w:rPr>
          <w:rFonts w:ascii="Times New Roman" w:hAnsi="Times New Roman" w:cs="Times New Roman"/>
        </w:rPr>
      </w:pPr>
    </w:p>
    <w:p w14:paraId="3BA6F291" w14:textId="0927C488" w:rsidR="00A84B1C" w:rsidRPr="00EC21D9" w:rsidRDefault="00000000">
      <w:pPr>
        <w:tabs>
          <w:tab w:val="center" w:pos="2325"/>
        </w:tabs>
        <w:spacing w:after="279" w:line="259" w:lineRule="auto"/>
        <w:ind w:left="-15" w:firstLine="0"/>
        <w:jc w:val="left"/>
        <w:rPr>
          <w:rFonts w:ascii="Times New Roman" w:hAnsi="Times New Roman" w:cs="Times New Roman"/>
          <w:b/>
          <w:bCs/>
          <w:sz w:val="29"/>
          <w:szCs w:val="29"/>
        </w:rPr>
      </w:pPr>
      <w:r w:rsidRPr="00EC21D9">
        <w:rPr>
          <w:rFonts w:ascii="Times New Roman" w:hAnsi="Times New Roman" w:cs="Times New Roman"/>
          <w:b/>
          <w:bCs/>
          <w:sz w:val="29"/>
          <w:szCs w:val="29"/>
        </w:rPr>
        <w:t>3.</w:t>
      </w:r>
      <w:r w:rsidR="00784D18" w:rsidRPr="00EC21D9">
        <w:rPr>
          <w:rFonts w:ascii="Times New Roman" w:hAnsi="Times New Roman" w:cs="Times New Roman"/>
          <w:b/>
          <w:bCs/>
          <w:sz w:val="29"/>
          <w:szCs w:val="29"/>
        </w:rPr>
        <w:t xml:space="preserve">3 </w:t>
      </w:r>
      <w:r w:rsidRPr="00EC21D9">
        <w:rPr>
          <w:rFonts w:ascii="Times New Roman" w:hAnsi="Times New Roman" w:cs="Times New Roman"/>
          <w:b/>
          <w:bCs/>
          <w:sz w:val="29"/>
          <w:szCs w:val="29"/>
        </w:rPr>
        <w:tab/>
        <w:t>Mathematical Formulation of TWI</w:t>
      </w:r>
    </w:p>
    <w:p w14:paraId="0EB474A1" w14:textId="77777777" w:rsidR="00A84B1C" w:rsidRPr="00EC21D9" w:rsidRDefault="00000000">
      <w:pPr>
        <w:spacing w:after="312" w:line="259" w:lineRule="auto"/>
        <w:ind w:left="-5"/>
        <w:rPr>
          <w:rFonts w:ascii="Times New Roman" w:hAnsi="Times New Roman" w:cs="Times New Roman"/>
        </w:rPr>
      </w:pPr>
      <w:r w:rsidRPr="00EC21D9">
        <w:rPr>
          <w:rFonts w:ascii="Times New Roman" w:hAnsi="Times New Roman" w:cs="Times New Roman"/>
        </w:rPr>
        <w:t>The Topographic Wetness Index (TWI) is defined as:</w:t>
      </w:r>
    </w:p>
    <w:p w14:paraId="3BEAF0B2" w14:textId="77777777" w:rsidR="00A84B1C" w:rsidRPr="00EC21D9" w:rsidRDefault="00000000">
      <w:pPr>
        <w:pStyle w:val="Heading3"/>
        <w:tabs>
          <w:tab w:val="center" w:pos="4200"/>
          <w:tab w:val="right" w:pos="8306"/>
        </w:tabs>
        <w:spacing w:after="358" w:line="259" w:lineRule="auto"/>
        <w:jc w:val="left"/>
        <w:rPr>
          <w:rFonts w:ascii="Times New Roman" w:hAnsi="Times New Roman" w:cs="Times New Roman"/>
        </w:rPr>
      </w:pPr>
      <w:r w:rsidRPr="00EC21D9">
        <w:rPr>
          <w:rFonts w:ascii="Times New Roman" w:hAnsi="Times New Roman" w:cs="Times New Roman"/>
        </w:rPr>
        <w:tab/>
      </w:r>
      <w:r w:rsidRPr="00EC21D9">
        <w:rPr>
          <w:rFonts w:ascii="Times New Roman" w:hAnsi="Times New Roman" w:cs="Times New Roman"/>
          <w:i/>
        </w:rPr>
        <w:t xml:space="preserve">TWI </w:t>
      </w:r>
      <w:r w:rsidRPr="00EC21D9">
        <w:rPr>
          <w:rFonts w:ascii="Times New Roman" w:hAnsi="Times New Roman" w:cs="Times New Roman"/>
          <w:noProof/>
        </w:rPr>
        <w:drawing>
          <wp:inline distT="0" distB="0" distL="0" distR="0" wp14:anchorId="63E84432" wp14:editId="608D1452">
            <wp:extent cx="743712" cy="335280"/>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7"/>
                    <a:stretch>
                      <a:fillRect/>
                    </a:stretch>
                  </pic:blipFill>
                  <pic:spPr>
                    <a:xfrm>
                      <a:off x="0" y="0"/>
                      <a:ext cx="743712" cy="335280"/>
                    </a:xfrm>
                    <a:prstGeom prst="rect">
                      <a:avLst/>
                    </a:prstGeom>
                  </pic:spPr>
                </pic:pic>
              </a:graphicData>
            </a:graphic>
          </wp:inline>
        </w:drawing>
      </w:r>
      <w:r w:rsidRPr="00EC21D9">
        <w:rPr>
          <w:rFonts w:ascii="Times New Roman" w:hAnsi="Times New Roman" w:cs="Times New Roman"/>
        </w:rPr>
        <w:tab/>
        <w:t>(1)</w:t>
      </w:r>
    </w:p>
    <w:p w14:paraId="3F20BCF3" w14:textId="77777777" w:rsidR="00A84B1C" w:rsidRPr="00EC21D9" w:rsidRDefault="00000000">
      <w:pPr>
        <w:spacing w:after="353"/>
        <w:ind w:left="-5"/>
        <w:rPr>
          <w:rFonts w:ascii="Times New Roman" w:hAnsi="Times New Roman" w:cs="Times New Roman"/>
        </w:rPr>
      </w:pPr>
      <w:r w:rsidRPr="00EC21D9">
        <w:rPr>
          <w:rFonts w:ascii="Times New Roman" w:hAnsi="Times New Roman" w:cs="Times New Roman"/>
        </w:rPr>
        <w:t>where ’</w:t>
      </w:r>
      <w:r w:rsidRPr="00EC21D9">
        <w:rPr>
          <w:rFonts w:ascii="Times New Roman" w:hAnsi="Times New Roman" w:cs="Times New Roman"/>
          <w:i/>
        </w:rPr>
        <w:t>a</w:t>
      </w:r>
      <w:r w:rsidRPr="00EC21D9">
        <w:rPr>
          <w:rFonts w:ascii="Times New Roman" w:hAnsi="Times New Roman" w:cs="Times New Roman"/>
        </w:rPr>
        <w:t>’ represents the upstream contributing area per unit contour length, and ’tan</w:t>
      </w:r>
      <w:r w:rsidRPr="00EC21D9">
        <w:rPr>
          <w:rFonts w:ascii="Times New Roman" w:hAnsi="Times New Roman" w:cs="Times New Roman"/>
          <w:i/>
        </w:rPr>
        <w:t>β</w:t>
      </w:r>
      <w:r w:rsidRPr="00EC21D9">
        <w:rPr>
          <w:rFonts w:ascii="Times New Roman" w:hAnsi="Times New Roman" w:cs="Times New Roman"/>
        </w:rPr>
        <w:t>’ denotes the local slope gradient. This index acts as a physical surrogate for soil moisture potential.</w:t>
      </w:r>
    </w:p>
    <w:p w14:paraId="65FD7969" w14:textId="228AF78F" w:rsidR="00A84B1C" w:rsidRPr="00EC21D9" w:rsidRDefault="00000000">
      <w:pPr>
        <w:tabs>
          <w:tab w:val="center" w:pos="2116"/>
        </w:tabs>
        <w:spacing w:after="309" w:line="259" w:lineRule="auto"/>
        <w:ind w:left="-15" w:firstLine="0"/>
        <w:jc w:val="left"/>
        <w:rPr>
          <w:rFonts w:ascii="Times New Roman" w:hAnsi="Times New Roman" w:cs="Times New Roman"/>
          <w:b/>
          <w:bCs/>
          <w:sz w:val="29"/>
          <w:szCs w:val="29"/>
        </w:rPr>
      </w:pPr>
      <w:r w:rsidRPr="00EC21D9">
        <w:rPr>
          <w:rFonts w:ascii="Times New Roman" w:hAnsi="Times New Roman" w:cs="Times New Roman"/>
          <w:b/>
          <w:bCs/>
          <w:sz w:val="29"/>
          <w:szCs w:val="29"/>
        </w:rPr>
        <w:t>3.</w:t>
      </w:r>
      <w:r w:rsidR="00784D18" w:rsidRPr="00EC21D9">
        <w:rPr>
          <w:rFonts w:ascii="Times New Roman" w:hAnsi="Times New Roman" w:cs="Times New Roman"/>
          <w:b/>
          <w:bCs/>
          <w:sz w:val="29"/>
          <w:szCs w:val="29"/>
        </w:rPr>
        <w:t>4</w:t>
      </w:r>
      <w:r w:rsidRPr="00EC21D9">
        <w:rPr>
          <w:rFonts w:ascii="Times New Roman" w:hAnsi="Times New Roman" w:cs="Times New Roman"/>
          <w:b/>
          <w:bCs/>
          <w:sz w:val="24"/>
        </w:rPr>
        <w:tab/>
      </w:r>
      <w:r w:rsidR="00784D18" w:rsidRPr="00EC21D9">
        <w:rPr>
          <w:rFonts w:ascii="Times New Roman" w:hAnsi="Times New Roman" w:cs="Times New Roman"/>
          <w:b/>
          <w:bCs/>
          <w:sz w:val="24"/>
        </w:rPr>
        <w:t xml:space="preserve"> </w:t>
      </w:r>
      <w:r w:rsidRPr="00EC21D9">
        <w:rPr>
          <w:rFonts w:ascii="Times New Roman" w:hAnsi="Times New Roman" w:cs="Times New Roman"/>
          <w:b/>
          <w:bCs/>
          <w:sz w:val="29"/>
          <w:szCs w:val="29"/>
        </w:rPr>
        <w:t>Spatial-Block Cross-Validation</w:t>
      </w:r>
    </w:p>
    <w:p w14:paraId="4827A7C1" w14:textId="209AF8F5" w:rsidR="00A84B1C" w:rsidRPr="00EC21D9" w:rsidRDefault="00784D18">
      <w:pPr>
        <w:ind w:left="-5"/>
        <w:rPr>
          <w:rFonts w:ascii="Times New Roman" w:hAnsi="Times New Roman" w:cs="Times New Roman"/>
        </w:rPr>
      </w:pPr>
      <w:r w:rsidRPr="00EC21D9">
        <w:rPr>
          <w:rFonts w:ascii="Times New Roman" w:hAnsi="Times New Roman" w:cs="Times New Roman"/>
        </w:rPr>
        <w:t xml:space="preserve"> </w:t>
      </w:r>
      <w:r w:rsidRPr="00EC21D9">
        <w:rPr>
          <w:rFonts w:ascii="Times New Roman" w:hAnsi="Times New Roman" w:cs="Times New Roman"/>
        </w:rPr>
        <w:t>In traditional machine learning, cross-validation assumes that samples are Independent and Identically Distributed (</w:t>
      </w:r>
      <w:proofErr w:type="spellStart"/>
      <w:r w:rsidRPr="00EC21D9">
        <w:rPr>
          <w:rFonts w:ascii="Times New Roman" w:hAnsi="Times New Roman" w:cs="Times New Roman"/>
        </w:rPr>
        <w:t>i.i.d.</w:t>
      </w:r>
      <w:proofErr w:type="spellEnd"/>
      <w:r w:rsidRPr="00EC21D9">
        <w:rPr>
          <w:rFonts w:ascii="Times New Roman" w:hAnsi="Times New Roman" w:cs="Times New Roman"/>
        </w:rPr>
        <w:t xml:space="preserve">). However, in geospatial forecasting, this assumption is invalidated by spatial autocorrelation, where geographical proximity induces correlation between data points. Relying on standard K-fold cross-validation typically results in "spatial leakage," where the model "memorizes" training labels of </w:t>
      </w:r>
      <w:proofErr w:type="spellStart"/>
      <w:r w:rsidRPr="00EC21D9">
        <w:rPr>
          <w:rFonts w:ascii="Times New Roman" w:hAnsi="Times New Roman" w:cs="Times New Roman"/>
        </w:rPr>
        <w:t>neighboring</w:t>
      </w:r>
      <w:proofErr w:type="spellEnd"/>
      <w:r w:rsidRPr="00EC21D9">
        <w:rPr>
          <w:rFonts w:ascii="Times New Roman" w:hAnsi="Times New Roman" w:cs="Times New Roman"/>
        </w:rPr>
        <w:t xml:space="preserve"> coordinates rather than learning the hydrological physics. To mitigate this, we implemented a Spatial-Block cross-validation strategy. By partitioning the study area into non-overlapping geographic grid clusters, we ensured that the test set consisted of completely novel topographical domains, forcing the model to generalize based on geomorphological features like slope and accumulation area rather than coordinate memorization. This rigorous validation approach provides a conservative, yet statistically robust, estimate of the model's true performance in unseen regions.</w:t>
      </w:r>
    </w:p>
    <w:p w14:paraId="345B858F" w14:textId="77777777" w:rsidR="00A84B1C" w:rsidRPr="00EC21D9" w:rsidRDefault="00000000">
      <w:pPr>
        <w:spacing w:after="0" w:line="259" w:lineRule="auto"/>
        <w:ind w:left="0" w:firstLine="0"/>
        <w:jc w:val="center"/>
        <w:rPr>
          <w:rFonts w:ascii="Times New Roman" w:hAnsi="Times New Roman" w:cs="Times New Roman"/>
        </w:rPr>
      </w:pPr>
      <w:r w:rsidRPr="00EC21D9">
        <w:rPr>
          <w:rFonts w:ascii="Times New Roman" w:hAnsi="Times New Roman" w:cs="Times New Roman"/>
        </w:rPr>
        <w:lastRenderedPageBreak/>
        <w:t>Table 1: Comparative Performance Metrics</w:t>
      </w:r>
    </w:p>
    <w:tbl>
      <w:tblPr>
        <w:tblStyle w:val="TableGrid"/>
        <w:tblW w:w="4965" w:type="dxa"/>
        <w:tblInd w:w="1670" w:type="dxa"/>
        <w:tblCellMar>
          <w:top w:w="38" w:type="dxa"/>
          <w:left w:w="0" w:type="dxa"/>
          <w:bottom w:w="0" w:type="dxa"/>
          <w:right w:w="119" w:type="dxa"/>
        </w:tblCellMar>
        <w:tblLook w:val="04A0" w:firstRow="1" w:lastRow="0" w:firstColumn="1" w:lastColumn="0" w:noHBand="0" w:noVBand="1"/>
      </w:tblPr>
      <w:tblGrid>
        <w:gridCol w:w="1898"/>
        <w:gridCol w:w="1942"/>
        <w:gridCol w:w="1125"/>
      </w:tblGrid>
      <w:tr w:rsidR="00A84B1C" w:rsidRPr="00EC21D9" w14:paraId="40B50C73" w14:textId="77777777">
        <w:trPr>
          <w:trHeight w:val="384"/>
        </w:trPr>
        <w:tc>
          <w:tcPr>
            <w:tcW w:w="1897" w:type="dxa"/>
            <w:tcBorders>
              <w:top w:val="single" w:sz="7" w:space="0" w:color="000000"/>
              <w:left w:val="nil"/>
              <w:bottom w:val="single" w:sz="4" w:space="0" w:color="000000"/>
              <w:right w:val="nil"/>
            </w:tcBorders>
          </w:tcPr>
          <w:p w14:paraId="361F8EC0" w14:textId="77777777" w:rsidR="00A84B1C" w:rsidRPr="00EC21D9" w:rsidRDefault="00000000">
            <w:pPr>
              <w:spacing w:after="0" w:line="259" w:lineRule="auto"/>
              <w:ind w:left="120" w:firstLine="0"/>
              <w:jc w:val="left"/>
              <w:rPr>
                <w:rFonts w:ascii="Times New Roman" w:hAnsi="Times New Roman" w:cs="Times New Roman"/>
              </w:rPr>
            </w:pPr>
            <w:r w:rsidRPr="00EC21D9">
              <w:rPr>
                <w:rFonts w:ascii="Times New Roman" w:hAnsi="Times New Roman" w:cs="Times New Roman"/>
              </w:rPr>
              <w:t>Metric</w:t>
            </w:r>
          </w:p>
        </w:tc>
        <w:tc>
          <w:tcPr>
            <w:tcW w:w="1942" w:type="dxa"/>
            <w:tcBorders>
              <w:top w:val="single" w:sz="7" w:space="0" w:color="000000"/>
              <w:left w:val="nil"/>
              <w:bottom w:val="single" w:sz="4" w:space="0" w:color="000000"/>
              <w:right w:val="nil"/>
            </w:tcBorders>
          </w:tcPr>
          <w:p w14:paraId="73B42062" w14:textId="77777777" w:rsidR="00A84B1C" w:rsidRPr="00EC21D9" w:rsidRDefault="00000000">
            <w:pPr>
              <w:spacing w:after="0" w:line="259" w:lineRule="auto"/>
              <w:ind w:left="0" w:firstLine="0"/>
              <w:jc w:val="left"/>
              <w:rPr>
                <w:rFonts w:ascii="Times New Roman" w:hAnsi="Times New Roman" w:cs="Times New Roman"/>
              </w:rPr>
            </w:pPr>
            <w:r w:rsidRPr="00EC21D9">
              <w:rPr>
                <w:rFonts w:ascii="Times New Roman" w:hAnsi="Times New Roman" w:cs="Times New Roman"/>
              </w:rPr>
              <w:t>Standard Baseline</w:t>
            </w:r>
          </w:p>
        </w:tc>
        <w:tc>
          <w:tcPr>
            <w:tcW w:w="1125" w:type="dxa"/>
            <w:tcBorders>
              <w:top w:val="single" w:sz="7" w:space="0" w:color="000000"/>
              <w:left w:val="nil"/>
              <w:bottom w:val="single" w:sz="4" w:space="0" w:color="000000"/>
              <w:right w:val="nil"/>
            </w:tcBorders>
          </w:tcPr>
          <w:p w14:paraId="604B3820" w14:textId="77777777" w:rsidR="00A84B1C" w:rsidRPr="00EC21D9" w:rsidRDefault="00000000">
            <w:pPr>
              <w:spacing w:after="0" w:line="259" w:lineRule="auto"/>
              <w:ind w:left="0" w:firstLine="0"/>
              <w:rPr>
                <w:rFonts w:ascii="Times New Roman" w:hAnsi="Times New Roman" w:cs="Times New Roman"/>
              </w:rPr>
            </w:pPr>
            <w:proofErr w:type="spellStart"/>
            <w:r w:rsidRPr="00EC21D9">
              <w:rPr>
                <w:rFonts w:ascii="Times New Roman" w:hAnsi="Times New Roman" w:cs="Times New Roman"/>
              </w:rPr>
              <w:t>HydraXAI</w:t>
            </w:r>
            <w:proofErr w:type="spellEnd"/>
          </w:p>
        </w:tc>
      </w:tr>
      <w:tr w:rsidR="00A84B1C" w:rsidRPr="00EC21D9" w14:paraId="061D3F86" w14:textId="77777777">
        <w:trPr>
          <w:trHeight w:val="341"/>
        </w:trPr>
        <w:tc>
          <w:tcPr>
            <w:tcW w:w="1897" w:type="dxa"/>
            <w:tcBorders>
              <w:top w:val="single" w:sz="4" w:space="0" w:color="000000"/>
              <w:left w:val="nil"/>
              <w:bottom w:val="nil"/>
              <w:right w:val="nil"/>
            </w:tcBorders>
          </w:tcPr>
          <w:p w14:paraId="7CAB7609" w14:textId="77777777" w:rsidR="00A84B1C" w:rsidRPr="00EC21D9" w:rsidRDefault="00000000">
            <w:pPr>
              <w:spacing w:after="0" w:line="259" w:lineRule="auto"/>
              <w:ind w:left="120" w:firstLine="0"/>
              <w:jc w:val="left"/>
              <w:rPr>
                <w:rFonts w:ascii="Times New Roman" w:hAnsi="Times New Roman" w:cs="Times New Roman"/>
              </w:rPr>
            </w:pPr>
            <w:r w:rsidRPr="00EC21D9">
              <w:rPr>
                <w:rFonts w:ascii="Times New Roman" w:hAnsi="Times New Roman" w:cs="Times New Roman"/>
              </w:rPr>
              <w:t>AUC-ROC</w:t>
            </w:r>
          </w:p>
        </w:tc>
        <w:tc>
          <w:tcPr>
            <w:tcW w:w="1942" w:type="dxa"/>
            <w:tcBorders>
              <w:top w:val="single" w:sz="4" w:space="0" w:color="000000"/>
              <w:left w:val="nil"/>
              <w:bottom w:val="nil"/>
              <w:right w:val="nil"/>
            </w:tcBorders>
          </w:tcPr>
          <w:p w14:paraId="58DC2470" w14:textId="77777777" w:rsidR="00A84B1C" w:rsidRPr="00EC21D9" w:rsidRDefault="00000000">
            <w:pPr>
              <w:spacing w:after="0" w:line="259" w:lineRule="auto"/>
              <w:ind w:left="661" w:firstLine="0"/>
              <w:jc w:val="left"/>
              <w:rPr>
                <w:rFonts w:ascii="Times New Roman" w:hAnsi="Times New Roman" w:cs="Times New Roman"/>
              </w:rPr>
            </w:pPr>
            <w:r w:rsidRPr="00EC21D9">
              <w:rPr>
                <w:rFonts w:ascii="Times New Roman" w:hAnsi="Times New Roman" w:cs="Times New Roman"/>
              </w:rPr>
              <w:t>0.72</w:t>
            </w:r>
          </w:p>
        </w:tc>
        <w:tc>
          <w:tcPr>
            <w:tcW w:w="1125" w:type="dxa"/>
            <w:tcBorders>
              <w:top w:val="single" w:sz="4" w:space="0" w:color="000000"/>
              <w:left w:val="nil"/>
              <w:bottom w:val="nil"/>
              <w:right w:val="nil"/>
            </w:tcBorders>
          </w:tcPr>
          <w:p w14:paraId="106ECF8E" w14:textId="77777777" w:rsidR="00A84B1C" w:rsidRPr="00EC21D9" w:rsidRDefault="00000000">
            <w:pPr>
              <w:spacing w:after="0" w:line="259" w:lineRule="auto"/>
              <w:ind w:left="312" w:firstLine="0"/>
              <w:jc w:val="left"/>
              <w:rPr>
                <w:rFonts w:ascii="Times New Roman" w:hAnsi="Times New Roman" w:cs="Times New Roman"/>
              </w:rPr>
            </w:pPr>
            <w:r w:rsidRPr="00EC21D9">
              <w:rPr>
                <w:rFonts w:ascii="Times New Roman" w:hAnsi="Times New Roman" w:cs="Times New Roman"/>
              </w:rPr>
              <w:t>0.88</w:t>
            </w:r>
          </w:p>
        </w:tc>
      </w:tr>
      <w:tr w:rsidR="00A84B1C" w:rsidRPr="00EC21D9" w14:paraId="2E135EBD" w14:textId="77777777">
        <w:trPr>
          <w:trHeight w:val="271"/>
        </w:trPr>
        <w:tc>
          <w:tcPr>
            <w:tcW w:w="1897" w:type="dxa"/>
            <w:tcBorders>
              <w:top w:val="nil"/>
              <w:left w:val="nil"/>
              <w:bottom w:val="nil"/>
              <w:right w:val="nil"/>
            </w:tcBorders>
          </w:tcPr>
          <w:p w14:paraId="2B1AAF5A" w14:textId="77777777" w:rsidR="00A84B1C" w:rsidRPr="00EC21D9" w:rsidRDefault="00000000">
            <w:pPr>
              <w:spacing w:after="0" w:line="259" w:lineRule="auto"/>
              <w:ind w:left="120" w:firstLine="0"/>
              <w:jc w:val="left"/>
              <w:rPr>
                <w:rFonts w:ascii="Times New Roman" w:hAnsi="Times New Roman" w:cs="Times New Roman"/>
              </w:rPr>
            </w:pPr>
            <w:r w:rsidRPr="00EC21D9">
              <w:rPr>
                <w:rFonts w:ascii="Times New Roman" w:hAnsi="Times New Roman" w:cs="Times New Roman"/>
              </w:rPr>
              <w:t>F1-Score</w:t>
            </w:r>
          </w:p>
        </w:tc>
        <w:tc>
          <w:tcPr>
            <w:tcW w:w="1942" w:type="dxa"/>
            <w:tcBorders>
              <w:top w:val="nil"/>
              <w:left w:val="nil"/>
              <w:bottom w:val="nil"/>
              <w:right w:val="nil"/>
            </w:tcBorders>
          </w:tcPr>
          <w:p w14:paraId="39C5E7F6" w14:textId="77777777" w:rsidR="00A84B1C" w:rsidRPr="00EC21D9" w:rsidRDefault="00000000">
            <w:pPr>
              <w:spacing w:after="0" w:line="259" w:lineRule="auto"/>
              <w:ind w:left="661" w:firstLine="0"/>
              <w:jc w:val="left"/>
              <w:rPr>
                <w:rFonts w:ascii="Times New Roman" w:hAnsi="Times New Roman" w:cs="Times New Roman"/>
              </w:rPr>
            </w:pPr>
            <w:r w:rsidRPr="00EC21D9">
              <w:rPr>
                <w:rFonts w:ascii="Times New Roman" w:hAnsi="Times New Roman" w:cs="Times New Roman"/>
              </w:rPr>
              <w:t>0.65</w:t>
            </w:r>
          </w:p>
        </w:tc>
        <w:tc>
          <w:tcPr>
            <w:tcW w:w="1125" w:type="dxa"/>
            <w:tcBorders>
              <w:top w:val="nil"/>
              <w:left w:val="nil"/>
              <w:bottom w:val="nil"/>
              <w:right w:val="nil"/>
            </w:tcBorders>
          </w:tcPr>
          <w:p w14:paraId="7860A127" w14:textId="77777777" w:rsidR="00A84B1C" w:rsidRPr="00EC21D9" w:rsidRDefault="00000000">
            <w:pPr>
              <w:spacing w:after="0" w:line="259" w:lineRule="auto"/>
              <w:ind w:left="312" w:firstLine="0"/>
              <w:jc w:val="left"/>
              <w:rPr>
                <w:rFonts w:ascii="Times New Roman" w:hAnsi="Times New Roman" w:cs="Times New Roman"/>
              </w:rPr>
            </w:pPr>
            <w:r w:rsidRPr="00EC21D9">
              <w:rPr>
                <w:rFonts w:ascii="Times New Roman" w:hAnsi="Times New Roman" w:cs="Times New Roman"/>
              </w:rPr>
              <w:t>0.82</w:t>
            </w:r>
          </w:p>
        </w:tc>
      </w:tr>
      <w:tr w:rsidR="00A84B1C" w:rsidRPr="00EC21D9" w14:paraId="055F6363" w14:textId="77777777">
        <w:trPr>
          <w:trHeight w:val="313"/>
        </w:trPr>
        <w:tc>
          <w:tcPr>
            <w:tcW w:w="1897" w:type="dxa"/>
            <w:tcBorders>
              <w:top w:val="nil"/>
              <w:left w:val="nil"/>
              <w:bottom w:val="single" w:sz="7" w:space="0" w:color="000000"/>
              <w:right w:val="nil"/>
            </w:tcBorders>
          </w:tcPr>
          <w:p w14:paraId="38263F05" w14:textId="77777777" w:rsidR="00A84B1C" w:rsidRPr="00EC21D9" w:rsidRDefault="00000000">
            <w:pPr>
              <w:spacing w:after="0" w:line="259" w:lineRule="auto"/>
              <w:ind w:left="120" w:firstLine="0"/>
              <w:jc w:val="left"/>
              <w:rPr>
                <w:rFonts w:ascii="Times New Roman" w:hAnsi="Times New Roman" w:cs="Times New Roman"/>
              </w:rPr>
            </w:pPr>
            <w:r w:rsidRPr="00EC21D9">
              <w:rPr>
                <w:rFonts w:ascii="Times New Roman" w:hAnsi="Times New Roman" w:cs="Times New Roman"/>
              </w:rPr>
              <w:t>Training Stability</w:t>
            </w:r>
          </w:p>
        </w:tc>
        <w:tc>
          <w:tcPr>
            <w:tcW w:w="1942" w:type="dxa"/>
            <w:tcBorders>
              <w:top w:val="nil"/>
              <w:left w:val="nil"/>
              <w:bottom w:val="single" w:sz="7" w:space="0" w:color="000000"/>
              <w:right w:val="nil"/>
            </w:tcBorders>
          </w:tcPr>
          <w:p w14:paraId="2E4C6BCC" w14:textId="77777777" w:rsidR="00A84B1C" w:rsidRPr="00EC21D9" w:rsidRDefault="00000000">
            <w:pPr>
              <w:spacing w:after="0" w:line="259" w:lineRule="auto"/>
              <w:ind w:left="434" w:firstLine="0"/>
              <w:jc w:val="left"/>
              <w:rPr>
                <w:rFonts w:ascii="Times New Roman" w:hAnsi="Times New Roman" w:cs="Times New Roman"/>
              </w:rPr>
            </w:pPr>
            <w:r w:rsidRPr="00EC21D9">
              <w:rPr>
                <w:rFonts w:ascii="Times New Roman" w:hAnsi="Times New Roman" w:cs="Times New Roman"/>
              </w:rPr>
              <w:t>Moderate</w:t>
            </w:r>
          </w:p>
        </w:tc>
        <w:tc>
          <w:tcPr>
            <w:tcW w:w="1125" w:type="dxa"/>
            <w:tcBorders>
              <w:top w:val="nil"/>
              <w:left w:val="nil"/>
              <w:bottom w:val="single" w:sz="7" w:space="0" w:color="000000"/>
              <w:right w:val="nil"/>
            </w:tcBorders>
          </w:tcPr>
          <w:p w14:paraId="44D047CD" w14:textId="77777777" w:rsidR="00A84B1C" w:rsidRPr="00EC21D9" w:rsidRDefault="00000000">
            <w:pPr>
              <w:spacing w:after="0" w:line="259" w:lineRule="auto"/>
              <w:ind w:left="285" w:firstLine="0"/>
              <w:jc w:val="left"/>
              <w:rPr>
                <w:rFonts w:ascii="Times New Roman" w:hAnsi="Times New Roman" w:cs="Times New Roman"/>
              </w:rPr>
            </w:pPr>
            <w:r w:rsidRPr="00EC21D9">
              <w:rPr>
                <w:rFonts w:ascii="Times New Roman" w:hAnsi="Times New Roman" w:cs="Times New Roman"/>
              </w:rPr>
              <w:t>High</w:t>
            </w:r>
          </w:p>
        </w:tc>
      </w:tr>
    </w:tbl>
    <w:p w14:paraId="47F8B49A" w14:textId="77777777" w:rsidR="00784D18" w:rsidRPr="00EC21D9" w:rsidRDefault="00784D18">
      <w:pPr>
        <w:tabs>
          <w:tab w:val="center" w:pos="2914"/>
        </w:tabs>
        <w:spacing w:after="467" w:line="265" w:lineRule="auto"/>
        <w:ind w:left="-15" w:firstLine="0"/>
        <w:jc w:val="left"/>
        <w:rPr>
          <w:rFonts w:ascii="Times New Roman" w:hAnsi="Times New Roman" w:cs="Times New Roman"/>
          <w:sz w:val="29"/>
        </w:rPr>
      </w:pPr>
    </w:p>
    <w:p w14:paraId="37746D43" w14:textId="585174BF" w:rsidR="00A84B1C" w:rsidRPr="00EC21D9" w:rsidRDefault="00000000">
      <w:pPr>
        <w:tabs>
          <w:tab w:val="center" w:pos="2914"/>
        </w:tabs>
        <w:spacing w:after="467" w:line="265" w:lineRule="auto"/>
        <w:ind w:left="-15" w:firstLine="0"/>
        <w:jc w:val="left"/>
        <w:rPr>
          <w:rFonts w:ascii="Times New Roman" w:hAnsi="Times New Roman" w:cs="Times New Roman"/>
          <w:b/>
          <w:bCs/>
          <w:sz w:val="29"/>
        </w:rPr>
      </w:pPr>
      <w:r w:rsidRPr="00EC21D9">
        <w:rPr>
          <w:rFonts w:ascii="Times New Roman" w:hAnsi="Times New Roman" w:cs="Times New Roman"/>
          <w:b/>
          <w:bCs/>
          <w:sz w:val="29"/>
        </w:rPr>
        <w:t>4</w:t>
      </w:r>
      <w:r w:rsidRPr="00EC21D9">
        <w:rPr>
          <w:rFonts w:ascii="Times New Roman" w:hAnsi="Times New Roman" w:cs="Times New Roman"/>
          <w:b/>
          <w:bCs/>
          <w:sz w:val="29"/>
        </w:rPr>
        <w:tab/>
        <w:t>Results and Performance Benchmarking</w:t>
      </w:r>
    </w:p>
    <w:p w14:paraId="35E684D5" w14:textId="77777777" w:rsidR="00784D18" w:rsidRPr="00EC21D9" w:rsidRDefault="00784D18" w:rsidP="00784D18">
      <w:pPr>
        <w:tabs>
          <w:tab w:val="center" w:pos="2914"/>
        </w:tabs>
        <w:spacing w:after="467" w:line="265" w:lineRule="auto"/>
        <w:ind w:left="-15" w:firstLine="0"/>
        <w:jc w:val="left"/>
        <w:rPr>
          <w:rFonts w:ascii="Times New Roman" w:hAnsi="Times New Roman" w:cs="Times New Roman"/>
          <w:szCs w:val="22"/>
        </w:rPr>
      </w:pPr>
      <w:r w:rsidRPr="00EC21D9">
        <w:rPr>
          <w:rFonts w:ascii="Times New Roman" w:hAnsi="Times New Roman" w:cs="Times New Roman"/>
          <w:szCs w:val="22"/>
        </w:rPr>
        <w:t xml:space="preserve">The efficacy of the </w:t>
      </w:r>
      <w:proofErr w:type="spellStart"/>
      <w:r w:rsidRPr="00EC21D9">
        <w:rPr>
          <w:rFonts w:ascii="Times New Roman" w:hAnsi="Times New Roman" w:cs="Times New Roman"/>
          <w:szCs w:val="22"/>
        </w:rPr>
        <w:t>HydraXAI</w:t>
      </w:r>
      <w:proofErr w:type="spellEnd"/>
      <w:r w:rsidRPr="00EC21D9">
        <w:rPr>
          <w:rFonts w:ascii="Times New Roman" w:hAnsi="Times New Roman" w:cs="Times New Roman"/>
          <w:szCs w:val="22"/>
        </w:rPr>
        <w:t xml:space="preserve"> framework was rigorously benchmarked against a standard, non-spatialized gradient-boosted baseline to isolate the impact of our spatial feature-engineering and validation pipeline. The baseline model was trained using identical hyperparameters but lacked the spatial-block validation strategy and the integrated Topographic Wetness Index (TWI) feature set.</w:t>
      </w:r>
    </w:p>
    <w:p w14:paraId="6782AFA0" w14:textId="77777777" w:rsidR="00784D18" w:rsidRPr="00EC21D9" w:rsidRDefault="00784D18" w:rsidP="00784D18">
      <w:pPr>
        <w:tabs>
          <w:tab w:val="center" w:pos="2914"/>
        </w:tabs>
        <w:spacing w:after="467" w:line="265" w:lineRule="auto"/>
        <w:ind w:left="-15" w:firstLine="0"/>
        <w:jc w:val="left"/>
        <w:rPr>
          <w:rFonts w:ascii="Times New Roman" w:hAnsi="Times New Roman" w:cs="Times New Roman"/>
          <w:b/>
          <w:bCs/>
          <w:sz w:val="29"/>
          <w:szCs w:val="29"/>
        </w:rPr>
      </w:pPr>
      <w:r w:rsidRPr="00EC21D9">
        <w:rPr>
          <w:rFonts w:ascii="Times New Roman" w:hAnsi="Times New Roman" w:cs="Times New Roman"/>
          <w:b/>
          <w:bCs/>
          <w:sz w:val="29"/>
          <w:szCs w:val="29"/>
        </w:rPr>
        <w:t>4.1 Comparative Metrics</w:t>
      </w:r>
    </w:p>
    <w:p w14:paraId="1B987B92" w14:textId="77777777" w:rsidR="00784D18" w:rsidRPr="00EC21D9" w:rsidRDefault="00784D18" w:rsidP="00784D18">
      <w:pPr>
        <w:tabs>
          <w:tab w:val="center" w:pos="2914"/>
        </w:tabs>
        <w:spacing w:after="467" w:line="265" w:lineRule="auto"/>
        <w:ind w:left="-15" w:firstLine="0"/>
        <w:jc w:val="left"/>
        <w:rPr>
          <w:rFonts w:ascii="Times New Roman" w:hAnsi="Times New Roman" w:cs="Times New Roman"/>
          <w:szCs w:val="22"/>
        </w:rPr>
      </w:pPr>
      <w:r w:rsidRPr="00EC21D9">
        <w:rPr>
          <w:rFonts w:ascii="Times New Roman" w:hAnsi="Times New Roman" w:cs="Times New Roman"/>
          <w:szCs w:val="22"/>
        </w:rPr>
        <w:t xml:space="preserve">As summarized in Table 1, the integration of physically-informed feature engineering and robust cross-validation resulted in a marked improvement across all key performance metrics. The </w:t>
      </w:r>
      <w:proofErr w:type="spellStart"/>
      <w:r w:rsidRPr="00EC21D9">
        <w:rPr>
          <w:rFonts w:ascii="Times New Roman" w:hAnsi="Times New Roman" w:cs="Times New Roman"/>
          <w:szCs w:val="22"/>
        </w:rPr>
        <w:t>HydraXAI</w:t>
      </w:r>
      <w:proofErr w:type="spellEnd"/>
      <w:r w:rsidRPr="00EC21D9">
        <w:rPr>
          <w:rFonts w:ascii="Times New Roman" w:hAnsi="Times New Roman" w:cs="Times New Roman"/>
          <w:szCs w:val="22"/>
        </w:rPr>
        <w:t xml:space="preserve"> framework achieved an AUC-ROC of 0.88, representing a 16.6% improvement over the standard baseline (0.72). This gain suggests that by explicitly constraining the model with geomorphological proxies, we significantly reduced the influence of statistical noise and improved the model’s ability to map actual flood susceptibility. </w:t>
      </w:r>
    </w:p>
    <w:p w14:paraId="43C95FD6" w14:textId="77777777" w:rsidR="00784D18" w:rsidRPr="00EC21D9" w:rsidRDefault="00784D18" w:rsidP="00784D18">
      <w:pPr>
        <w:tabs>
          <w:tab w:val="center" w:pos="2914"/>
        </w:tabs>
        <w:spacing w:after="467" w:line="265" w:lineRule="auto"/>
        <w:ind w:left="-15" w:firstLine="0"/>
        <w:jc w:val="left"/>
        <w:rPr>
          <w:rFonts w:ascii="Times New Roman" w:hAnsi="Times New Roman" w:cs="Times New Roman"/>
          <w:szCs w:val="22"/>
        </w:rPr>
      </w:pPr>
      <w:r w:rsidRPr="00EC21D9">
        <w:rPr>
          <w:rFonts w:ascii="Times New Roman" w:hAnsi="Times New Roman" w:cs="Times New Roman"/>
          <w:szCs w:val="22"/>
        </w:rPr>
        <w:t xml:space="preserve">Furthermore, the F1-score—a critical metric for flood susceptibility models due to the inherent class imbalance between hazard and non-hazard zones—improved from 0.65 to 0.82. This indicates that </w:t>
      </w:r>
      <w:proofErr w:type="spellStart"/>
      <w:r w:rsidRPr="00EC21D9">
        <w:rPr>
          <w:rFonts w:ascii="Times New Roman" w:hAnsi="Times New Roman" w:cs="Times New Roman"/>
          <w:szCs w:val="22"/>
        </w:rPr>
        <w:t>HydraXAI</w:t>
      </w:r>
      <w:proofErr w:type="spellEnd"/>
      <w:r w:rsidRPr="00EC21D9">
        <w:rPr>
          <w:rFonts w:ascii="Times New Roman" w:hAnsi="Times New Roman" w:cs="Times New Roman"/>
          <w:szCs w:val="22"/>
        </w:rPr>
        <w:t xml:space="preserve"> is significantly more effective at balancing precision and recall, reducing both false-positive warnings that cause "alarm fatigue" and false-negative omissions that present life-safety risks. </w:t>
      </w:r>
    </w:p>
    <w:p w14:paraId="1F6E7FBE" w14:textId="77777777" w:rsidR="00784D18" w:rsidRPr="00EC21D9" w:rsidRDefault="00784D18" w:rsidP="00784D18">
      <w:pPr>
        <w:tabs>
          <w:tab w:val="center" w:pos="2914"/>
        </w:tabs>
        <w:spacing w:after="467" w:line="265" w:lineRule="auto"/>
        <w:ind w:left="-15" w:firstLine="0"/>
        <w:jc w:val="left"/>
        <w:rPr>
          <w:rFonts w:ascii="Times New Roman" w:hAnsi="Times New Roman" w:cs="Times New Roman"/>
          <w:b/>
          <w:bCs/>
          <w:sz w:val="29"/>
          <w:szCs w:val="29"/>
        </w:rPr>
      </w:pPr>
      <w:r w:rsidRPr="00EC21D9">
        <w:rPr>
          <w:rFonts w:ascii="Times New Roman" w:hAnsi="Times New Roman" w:cs="Times New Roman"/>
          <w:b/>
          <w:bCs/>
          <w:sz w:val="29"/>
          <w:szCs w:val="29"/>
        </w:rPr>
        <w:t>4.2 Stability and Generalization</w:t>
      </w:r>
    </w:p>
    <w:p w14:paraId="6D275E2F" w14:textId="77777777" w:rsidR="00784D18" w:rsidRPr="00EC21D9" w:rsidRDefault="00784D18" w:rsidP="00784D18">
      <w:pPr>
        <w:tabs>
          <w:tab w:val="center" w:pos="2914"/>
        </w:tabs>
        <w:spacing w:after="467" w:line="265" w:lineRule="auto"/>
        <w:ind w:left="-15" w:firstLine="0"/>
        <w:jc w:val="left"/>
        <w:rPr>
          <w:rFonts w:ascii="Times New Roman" w:hAnsi="Times New Roman" w:cs="Times New Roman"/>
          <w:szCs w:val="22"/>
        </w:rPr>
      </w:pPr>
      <w:r w:rsidRPr="00EC21D9">
        <w:rPr>
          <w:rFonts w:ascii="Times New Roman" w:hAnsi="Times New Roman" w:cs="Times New Roman"/>
          <w:szCs w:val="22"/>
        </w:rPr>
        <w:t xml:space="preserve">Beyond raw accuracy, we assessed the model’s training stability. The standard baseline exhibited high performance variance across different folds, a typical indicator of spatial leakage and overfitting to local training data. In contrast, </w:t>
      </w:r>
      <w:proofErr w:type="spellStart"/>
      <w:r w:rsidRPr="00EC21D9">
        <w:rPr>
          <w:rFonts w:ascii="Times New Roman" w:hAnsi="Times New Roman" w:cs="Times New Roman"/>
          <w:szCs w:val="22"/>
        </w:rPr>
        <w:t>HydraXAI</w:t>
      </w:r>
      <w:proofErr w:type="spellEnd"/>
      <w:r w:rsidRPr="00EC21D9">
        <w:rPr>
          <w:rFonts w:ascii="Times New Roman" w:hAnsi="Times New Roman" w:cs="Times New Roman"/>
          <w:szCs w:val="22"/>
        </w:rPr>
        <w:t xml:space="preserve"> demonstrated high stability, with narrow variance between folds. This consistency confirms that the model has successfully generalized its learned hydrological logic across diverse topographical domains </w:t>
      </w:r>
      <w:r w:rsidRPr="00EC21D9">
        <w:rPr>
          <w:rFonts w:ascii="Times New Roman" w:hAnsi="Times New Roman" w:cs="Times New Roman"/>
          <w:szCs w:val="22"/>
        </w:rPr>
        <w:lastRenderedPageBreak/>
        <w:t xml:space="preserve">within the Western Ghats, rather than memorizing local patterns unique to specific training coordinates. </w:t>
      </w:r>
    </w:p>
    <w:p w14:paraId="7EA07EC4" w14:textId="77777777" w:rsidR="00784D18" w:rsidRPr="00EC21D9" w:rsidRDefault="00784D18">
      <w:pPr>
        <w:tabs>
          <w:tab w:val="center" w:pos="2914"/>
        </w:tabs>
        <w:spacing w:after="467" w:line="265" w:lineRule="auto"/>
        <w:ind w:left="-15" w:firstLine="0"/>
        <w:jc w:val="left"/>
        <w:rPr>
          <w:rFonts w:ascii="Times New Roman" w:hAnsi="Times New Roman" w:cs="Times New Roman"/>
          <w:b/>
          <w:bCs/>
          <w:sz w:val="29"/>
        </w:rPr>
      </w:pPr>
    </w:p>
    <w:p w14:paraId="089061D5" w14:textId="77777777" w:rsidR="00A84B1C" w:rsidRPr="00EC21D9" w:rsidRDefault="00000000">
      <w:pPr>
        <w:pStyle w:val="Heading2"/>
        <w:tabs>
          <w:tab w:val="center" w:pos="2392"/>
        </w:tabs>
        <w:ind w:left="-15" w:firstLine="0"/>
        <w:rPr>
          <w:rFonts w:ascii="Times New Roman" w:hAnsi="Times New Roman" w:cs="Times New Roman"/>
          <w:b/>
          <w:bCs/>
        </w:rPr>
      </w:pPr>
      <w:r w:rsidRPr="00EC21D9">
        <w:rPr>
          <w:rFonts w:ascii="Times New Roman" w:hAnsi="Times New Roman" w:cs="Times New Roman"/>
          <w:b/>
          <w:bCs/>
        </w:rPr>
        <w:t>5</w:t>
      </w:r>
      <w:r w:rsidRPr="00EC21D9">
        <w:rPr>
          <w:rFonts w:ascii="Times New Roman" w:hAnsi="Times New Roman" w:cs="Times New Roman"/>
          <w:b/>
          <w:bCs/>
        </w:rPr>
        <w:tab/>
        <w:t>Interpretability: The XAI Audit</w:t>
      </w:r>
    </w:p>
    <w:p w14:paraId="2605EE97" w14:textId="77777777" w:rsidR="00A84B1C" w:rsidRPr="00EC21D9" w:rsidRDefault="00000000">
      <w:pPr>
        <w:spacing w:after="151" w:line="259" w:lineRule="auto"/>
        <w:ind w:left="-5"/>
        <w:rPr>
          <w:rFonts w:ascii="Times New Roman" w:hAnsi="Times New Roman" w:cs="Times New Roman"/>
        </w:rPr>
      </w:pPr>
      <w:r w:rsidRPr="00EC21D9">
        <w:rPr>
          <w:rFonts w:ascii="Times New Roman" w:hAnsi="Times New Roman" w:cs="Times New Roman"/>
        </w:rPr>
        <w:t>To transition from correlation to causation, we audited model transparency via SHAP (</w:t>
      </w:r>
      <w:proofErr w:type="spellStart"/>
      <w:r w:rsidRPr="00EC21D9">
        <w:rPr>
          <w:rFonts w:ascii="Times New Roman" w:hAnsi="Times New Roman" w:cs="Times New Roman"/>
        </w:rPr>
        <w:t>SHapley</w:t>
      </w:r>
      <w:proofErr w:type="spellEnd"/>
    </w:p>
    <w:p w14:paraId="4C9ED1E6" w14:textId="77777777" w:rsidR="00A84B1C" w:rsidRPr="00EC21D9" w:rsidRDefault="00000000">
      <w:pPr>
        <w:ind w:left="-5"/>
        <w:rPr>
          <w:rFonts w:ascii="Times New Roman" w:hAnsi="Times New Roman" w:cs="Times New Roman"/>
        </w:rPr>
      </w:pPr>
      <w:r w:rsidRPr="00EC21D9">
        <w:rPr>
          <w:rFonts w:ascii="Times New Roman" w:hAnsi="Times New Roman" w:cs="Times New Roman"/>
        </w:rPr>
        <w:t xml:space="preserve">Additive </w:t>
      </w:r>
      <w:proofErr w:type="spellStart"/>
      <w:r w:rsidRPr="00EC21D9">
        <w:rPr>
          <w:rFonts w:ascii="Times New Roman" w:hAnsi="Times New Roman" w:cs="Times New Roman"/>
        </w:rPr>
        <w:t>exPlanations</w:t>
      </w:r>
      <w:proofErr w:type="spellEnd"/>
      <w:r w:rsidRPr="00EC21D9">
        <w:rPr>
          <w:rFonts w:ascii="Times New Roman" w:hAnsi="Times New Roman" w:cs="Times New Roman"/>
        </w:rPr>
        <w:t xml:space="preserve">). Analysis reveals that the model assigns the highest feature weight to </w:t>
      </w:r>
      <w:r w:rsidRPr="00EC21D9">
        <w:rPr>
          <w:rFonts w:ascii="Times New Roman" w:hAnsi="Times New Roman" w:cs="Times New Roman"/>
          <w:i/>
        </w:rPr>
        <w:t xml:space="preserve">TWI </w:t>
      </w:r>
      <w:r w:rsidRPr="00EC21D9">
        <w:rPr>
          <w:rFonts w:ascii="Times New Roman" w:hAnsi="Times New Roman" w:cs="Times New Roman"/>
        </w:rPr>
        <w:t xml:space="preserve">and </w:t>
      </w:r>
      <w:r w:rsidRPr="00EC21D9">
        <w:rPr>
          <w:rFonts w:ascii="Times New Roman" w:hAnsi="Times New Roman" w:cs="Times New Roman"/>
          <w:i/>
        </w:rPr>
        <w:t>Topographical Gradient</w:t>
      </w:r>
      <w:r w:rsidRPr="00EC21D9">
        <w:rPr>
          <w:rFonts w:ascii="Times New Roman" w:hAnsi="Times New Roman" w:cs="Times New Roman"/>
        </w:rPr>
        <w:t>. This physical alignment validates that the model is learning hydrological drivers rather than statistical artifacts.</w:t>
      </w:r>
    </w:p>
    <w:p w14:paraId="03E7437E" w14:textId="77777777" w:rsidR="00A84B1C" w:rsidRPr="00EC21D9" w:rsidRDefault="00000000">
      <w:pPr>
        <w:pStyle w:val="Heading2"/>
        <w:tabs>
          <w:tab w:val="center" w:pos="2719"/>
        </w:tabs>
        <w:ind w:left="-15" w:firstLine="0"/>
        <w:rPr>
          <w:rFonts w:ascii="Times New Roman" w:hAnsi="Times New Roman" w:cs="Times New Roman"/>
          <w:b/>
          <w:bCs/>
        </w:rPr>
      </w:pPr>
      <w:r w:rsidRPr="00EC21D9">
        <w:rPr>
          <w:rFonts w:ascii="Times New Roman" w:hAnsi="Times New Roman" w:cs="Times New Roman"/>
          <w:b/>
          <w:bCs/>
        </w:rPr>
        <w:t>6</w:t>
      </w:r>
      <w:r w:rsidRPr="00EC21D9">
        <w:rPr>
          <w:rFonts w:ascii="Times New Roman" w:hAnsi="Times New Roman" w:cs="Times New Roman"/>
          <w:b/>
          <w:bCs/>
        </w:rPr>
        <w:tab/>
        <w:t>Discussion: Engineering Implications</w:t>
      </w:r>
    </w:p>
    <w:p w14:paraId="5A14F191" w14:textId="77777777" w:rsidR="00A84B1C" w:rsidRPr="00EC21D9" w:rsidRDefault="00000000">
      <w:pPr>
        <w:ind w:left="-5"/>
        <w:rPr>
          <w:rFonts w:ascii="Times New Roman" w:hAnsi="Times New Roman" w:cs="Times New Roman"/>
        </w:rPr>
      </w:pPr>
      <w:r w:rsidRPr="00EC21D9">
        <w:rPr>
          <w:rFonts w:ascii="Times New Roman" w:hAnsi="Times New Roman" w:cs="Times New Roman"/>
        </w:rPr>
        <w:t xml:space="preserve">The observed performance gap highlights a critical trade-off: the choice between a simple, opaque baseline and a complex, physically-grounded architecture. </w:t>
      </w:r>
      <w:proofErr w:type="spellStart"/>
      <w:r w:rsidRPr="00EC21D9">
        <w:rPr>
          <w:rFonts w:ascii="Times New Roman" w:hAnsi="Times New Roman" w:cs="Times New Roman"/>
        </w:rPr>
        <w:t>HydraXAI</w:t>
      </w:r>
      <w:proofErr w:type="spellEnd"/>
      <w:r w:rsidRPr="00EC21D9">
        <w:rPr>
          <w:rFonts w:ascii="Times New Roman" w:hAnsi="Times New Roman" w:cs="Times New Roman"/>
        </w:rPr>
        <w:t xml:space="preserve"> achieves a 16% improvement by leveraging physical indices that guide the gradient-boosting process.</w:t>
      </w:r>
    </w:p>
    <w:p w14:paraId="70843BBD" w14:textId="77777777" w:rsidR="00A84B1C" w:rsidRPr="00EC21D9" w:rsidRDefault="00000000">
      <w:pPr>
        <w:pStyle w:val="Heading2"/>
        <w:tabs>
          <w:tab w:val="center" w:pos="2233"/>
        </w:tabs>
        <w:ind w:left="-15" w:firstLine="0"/>
        <w:rPr>
          <w:rFonts w:ascii="Times New Roman" w:hAnsi="Times New Roman" w:cs="Times New Roman"/>
          <w:b/>
          <w:bCs/>
        </w:rPr>
      </w:pPr>
      <w:r w:rsidRPr="00EC21D9">
        <w:rPr>
          <w:rFonts w:ascii="Times New Roman" w:hAnsi="Times New Roman" w:cs="Times New Roman"/>
          <w:b/>
          <w:bCs/>
        </w:rPr>
        <w:t>7</w:t>
      </w:r>
      <w:r w:rsidRPr="00EC21D9">
        <w:rPr>
          <w:rFonts w:ascii="Times New Roman" w:hAnsi="Times New Roman" w:cs="Times New Roman"/>
          <w:b/>
          <w:bCs/>
        </w:rPr>
        <w:tab/>
        <w:t>Conclusion and Future Scope</w:t>
      </w:r>
    </w:p>
    <w:p w14:paraId="1BF4A95D" w14:textId="77777777" w:rsidR="00A84B1C" w:rsidRPr="00EC21D9" w:rsidRDefault="00000000">
      <w:pPr>
        <w:spacing w:after="478"/>
        <w:ind w:left="-5"/>
        <w:rPr>
          <w:rFonts w:ascii="Times New Roman" w:hAnsi="Times New Roman" w:cs="Times New Roman"/>
        </w:rPr>
      </w:pPr>
      <w:proofErr w:type="spellStart"/>
      <w:r w:rsidRPr="00EC21D9">
        <w:rPr>
          <w:rFonts w:ascii="Times New Roman" w:hAnsi="Times New Roman" w:cs="Times New Roman"/>
        </w:rPr>
        <w:t>HydraXAI</w:t>
      </w:r>
      <w:proofErr w:type="spellEnd"/>
      <w:r w:rsidRPr="00EC21D9">
        <w:rPr>
          <w:rFonts w:ascii="Times New Roman" w:hAnsi="Times New Roman" w:cs="Times New Roman"/>
        </w:rPr>
        <w:t xml:space="preserve"> provides a blueprint for transparent, scalable disaster governance. Future research will focus on dynamic telemetry integration and cross-regional framework portability.</w:t>
      </w:r>
    </w:p>
    <w:p w14:paraId="14121740" w14:textId="77777777" w:rsidR="00A84B1C" w:rsidRPr="00EC21D9" w:rsidRDefault="00000000">
      <w:pPr>
        <w:pStyle w:val="Heading2"/>
        <w:ind w:left="-5"/>
        <w:rPr>
          <w:rFonts w:ascii="Times New Roman" w:hAnsi="Times New Roman" w:cs="Times New Roman"/>
          <w:b/>
          <w:bCs/>
        </w:rPr>
      </w:pPr>
      <w:r w:rsidRPr="00EC21D9">
        <w:rPr>
          <w:rFonts w:ascii="Times New Roman" w:hAnsi="Times New Roman" w:cs="Times New Roman"/>
          <w:b/>
          <w:bCs/>
        </w:rPr>
        <w:t>References</w:t>
      </w:r>
    </w:p>
    <w:p w14:paraId="1512AA26" w14:textId="77777777" w:rsidR="00A84B1C" w:rsidRPr="00EC21D9" w:rsidRDefault="00000000">
      <w:pPr>
        <w:numPr>
          <w:ilvl w:val="0"/>
          <w:numId w:val="1"/>
        </w:numPr>
        <w:spacing w:after="365" w:line="265" w:lineRule="auto"/>
        <w:ind w:hanging="363"/>
        <w:jc w:val="left"/>
        <w:rPr>
          <w:rFonts w:ascii="Times New Roman" w:hAnsi="Times New Roman" w:cs="Times New Roman"/>
        </w:rPr>
      </w:pPr>
      <w:r w:rsidRPr="00EC21D9">
        <w:rPr>
          <w:rFonts w:ascii="Times New Roman" w:hAnsi="Times New Roman" w:cs="Times New Roman"/>
        </w:rPr>
        <w:t xml:space="preserve">Beven, K. J., &amp; Kirkby, M. J. (1979). </w:t>
      </w:r>
      <w:r w:rsidRPr="00EC21D9">
        <w:rPr>
          <w:rFonts w:ascii="Times New Roman" w:hAnsi="Times New Roman" w:cs="Times New Roman"/>
          <w:i/>
        </w:rPr>
        <w:t>A physically based variable contributing area model</w:t>
      </w:r>
      <w:r w:rsidRPr="00EC21D9">
        <w:rPr>
          <w:rFonts w:ascii="Times New Roman" w:hAnsi="Times New Roman" w:cs="Times New Roman"/>
        </w:rPr>
        <w:t>.</w:t>
      </w:r>
    </w:p>
    <w:p w14:paraId="08163A9E" w14:textId="77777777" w:rsidR="00A84B1C" w:rsidRPr="00EC21D9" w:rsidRDefault="00000000">
      <w:pPr>
        <w:numPr>
          <w:ilvl w:val="0"/>
          <w:numId w:val="1"/>
        </w:numPr>
        <w:spacing w:after="365" w:line="265" w:lineRule="auto"/>
        <w:ind w:hanging="363"/>
        <w:jc w:val="left"/>
        <w:rPr>
          <w:rFonts w:ascii="Times New Roman" w:hAnsi="Times New Roman" w:cs="Times New Roman"/>
        </w:rPr>
      </w:pPr>
      <w:r w:rsidRPr="00EC21D9">
        <w:rPr>
          <w:rFonts w:ascii="Times New Roman" w:hAnsi="Times New Roman" w:cs="Times New Roman"/>
        </w:rPr>
        <w:t xml:space="preserve">Ke, G., et al. (2017). </w:t>
      </w:r>
      <w:proofErr w:type="spellStart"/>
      <w:r w:rsidRPr="00EC21D9">
        <w:rPr>
          <w:rFonts w:ascii="Times New Roman" w:hAnsi="Times New Roman" w:cs="Times New Roman"/>
          <w:i/>
        </w:rPr>
        <w:t>Lightgbm</w:t>
      </w:r>
      <w:proofErr w:type="spellEnd"/>
      <w:r w:rsidRPr="00EC21D9">
        <w:rPr>
          <w:rFonts w:ascii="Times New Roman" w:hAnsi="Times New Roman" w:cs="Times New Roman"/>
          <w:i/>
        </w:rPr>
        <w:t>: A highly efficient gradient boosting decision tree</w:t>
      </w:r>
      <w:r w:rsidRPr="00EC21D9">
        <w:rPr>
          <w:rFonts w:ascii="Times New Roman" w:hAnsi="Times New Roman" w:cs="Times New Roman"/>
        </w:rPr>
        <w:t>.</w:t>
      </w:r>
    </w:p>
    <w:p w14:paraId="57D36576" w14:textId="77777777" w:rsidR="00A84B1C" w:rsidRDefault="00000000">
      <w:pPr>
        <w:numPr>
          <w:ilvl w:val="0"/>
          <w:numId w:val="1"/>
        </w:numPr>
        <w:spacing w:after="365" w:line="265" w:lineRule="auto"/>
        <w:ind w:hanging="363"/>
        <w:jc w:val="left"/>
      </w:pPr>
      <w:r w:rsidRPr="00EC21D9">
        <w:rPr>
          <w:rFonts w:ascii="Times New Roman" w:hAnsi="Times New Roman" w:cs="Times New Roman"/>
        </w:rPr>
        <w:t>L</w:t>
      </w:r>
      <w:r>
        <w:t xml:space="preserve">undberg, S. M., &amp; Lee, S. I. (2017). </w:t>
      </w:r>
      <w:r>
        <w:rPr>
          <w:i/>
        </w:rPr>
        <w:t>A unified approach to interpreting model predictions</w:t>
      </w:r>
      <w:r>
        <w:t>.</w:t>
      </w:r>
    </w:p>
    <w:sectPr w:rsidR="00A84B1C">
      <w:footerReference w:type="even" r:id="rId8"/>
      <w:footerReference w:type="default" r:id="rId9"/>
      <w:footerReference w:type="first" r:id="rId10"/>
      <w:pgSz w:w="11906" w:h="16838"/>
      <w:pgMar w:top="1821" w:right="1800" w:bottom="2532" w:left="1800" w:header="720" w:footer="11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AF3A" w14:textId="77777777" w:rsidR="00A3689E" w:rsidRDefault="00A3689E">
      <w:pPr>
        <w:spacing w:after="0" w:line="240" w:lineRule="auto"/>
      </w:pPr>
      <w:r>
        <w:separator/>
      </w:r>
    </w:p>
  </w:endnote>
  <w:endnote w:type="continuationSeparator" w:id="0">
    <w:p w14:paraId="7D9A0931" w14:textId="77777777" w:rsidR="00A3689E" w:rsidRDefault="00A36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DCD6D" w14:textId="77777777" w:rsidR="00A84B1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EBEE" w14:textId="77777777" w:rsidR="00A84B1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D6C9" w14:textId="77777777" w:rsidR="00A84B1C"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96FE" w14:textId="77777777" w:rsidR="00A3689E" w:rsidRDefault="00A3689E">
      <w:pPr>
        <w:spacing w:after="0" w:line="240" w:lineRule="auto"/>
      </w:pPr>
      <w:r>
        <w:separator/>
      </w:r>
    </w:p>
  </w:footnote>
  <w:footnote w:type="continuationSeparator" w:id="0">
    <w:p w14:paraId="47EC4745" w14:textId="77777777" w:rsidR="00A3689E" w:rsidRDefault="00A36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444A2"/>
    <w:multiLevelType w:val="hybridMultilevel"/>
    <w:tmpl w:val="8C7E318E"/>
    <w:lvl w:ilvl="0" w:tplc="A1F246F2">
      <w:start w:val="1"/>
      <w:numFmt w:val="decimal"/>
      <w:lvlText w:val="[%1]"/>
      <w:lvlJc w:val="left"/>
      <w:pPr>
        <w:ind w:left="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7A6E0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92598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E80DE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92975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4885C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DEDC9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2C7D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566DF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0349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B1C"/>
    <w:rsid w:val="007772E7"/>
    <w:rsid w:val="00784D18"/>
    <w:rsid w:val="00A3689E"/>
    <w:rsid w:val="00A84B1C"/>
    <w:rsid w:val="00EC2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69248"/>
  <w15:docId w15:val="{077C8B6F-8EF2-4ABF-9F8C-D9BA7C861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2" w:line="404"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5" w:line="259" w:lineRule="auto"/>
      <w:ind w:left="144" w:hanging="10"/>
      <w:jc w:val="center"/>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spacing w:after="289" w:line="265" w:lineRule="auto"/>
      <w:ind w:left="10" w:hanging="10"/>
      <w:outlineLvl w:val="1"/>
    </w:pPr>
    <w:rPr>
      <w:rFonts w:ascii="Calibri" w:eastAsia="Calibri" w:hAnsi="Calibri" w:cs="Calibri"/>
      <w:color w:val="000000"/>
      <w:sz w:val="29"/>
    </w:rPr>
  </w:style>
  <w:style w:type="paragraph" w:styleId="Heading3">
    <w:name w:val="heading 3"/>
    <w:next w:val="Normal"/>
    <w:link w:val="Heading3Char"/>
    <w:uiPriority w:val="9"/>
    <w:unhideWhenUsed/>
    <w:qFormat/>
    <w:pPr>
      <w:keepNext/>
      <w:keepLines/>
      <w:spacing w:after="0" w:line="395" w:lineRule="auto"/>
      <w:jc w:val="right"/>
      <w:outlineLvl w:val="2"/>
    </w:pPr>
    <w:rPr>
      <w:rFonts w:ascii="Calibri" w:eastAsia="Calibri" w:hAnsi="Calibri" w:cs="Calibri"/>
      <w:color w:val="000000"/>
      <w:sz w:val="22"/>
    </w:rPr>
  </w:style>
  <w:style w:type="paragraph" w:styleId="Heading4">
    <w:name w:val="heading 4"/>
    <w:basedOn w:val="Normal"/>
    <w:next w:val="Normal"/>
    <w:link w:val="Heading4Char"/>
    <w:uiPriority w:val="9"/>
    <w:semiHidden/>
    <w:unhideWhenUsed/>
    <w:qFormat/>
    <w:rsid w:val="00784D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2"/>
    </w:rPr>
  </w:style>
  <w:style w:type="character" w:customStyle="1" w:styleId="Heading1Char">
    <w:name w:val="Heading 1 Char"/>
    <w:link w:val="Heading1"/>
    <w:rPr>
      <w:rFonts w:ascii="Calibri" w:eastAsia="Calibri" w:hAnsi="Calibri" w:cs="Calibri"/>
      <w:color w:val="000000"/>
      <w:sz w:val="34"/>
    </w:rPr>
  </w:style>
  <w:style w:type="character" w:customStyle="1" w:styleId="Heading2Char">
    <w:name w:val="Heading 2 Char"/>
    <w:link w:val="Heading2"/>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84D18"/>
    <w:rPr>
      <w:rFonts w:ascii="Times New Roman" w:hAnsi="Times New Roman" w:cs="Times New Roman"/>
      <w:sz w:val="24"/>
    </w:rPr>
  </w:style>
  <w:style w:type="character" w:customStyle="1" w:styleId="Heading4Char">
    <w:name w:val="Heading 4 Char"/>
    <w:basedOn w:val="DefaultParagraphFont"/>
    <w:link w:val="Heading4"/>
    <w:uiPriority w:val="9"/>
    <w:semiHidden/>
    <w:rsid w:val="00784D18"/>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Rushabh Ahire</dc:creator>
  <cp:keywords/>
  <cp:lastModifiedBy>Rushabh Ahire</cp:lastModifiedBy>
  <cp:revision>2</cp:revision>
  <dcterms:created xsi:type="dcterms:W3CDTF">2026-06-25T20:04:00Z</dcterms:created>
  <dcterms:modified xsi:type="dcterms:W3CDTF">2026-06-25T20:04:00Z</dcterms:modified>
</cp:coreProperties>
</file>