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文件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: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ARIA_BP_External.md（外部商业计划书）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版本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: v2.2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生效日期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: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2026年4月19日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数据治理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: Finance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Simulator（neutral情景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+ best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case时间线）为所有财务数据的单一真值来源，详见§9.7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说明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: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本文件为ARIA项目对外商业计划书。所有财务数据以Finance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Simulator输出为单一真值来源（neutral情景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+ best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case时间线），本文件据此逐项更新。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Start w:id="15" w:name="第一章-执行摘要"/>
    <w:p>
      <w:pPr>
        <w:pStyle w:val="Heading1"/>
        <w:spacing w:before="720" w:after="280" w:line="312" w:lineRule="auto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第一章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执行摘要</w:t>
      </w:r>
    </w:p>
    <w:bookmarkStart w:id="9" w:name="临床痛点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临床痛点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ICU谵妄是重症监护病房中发生率高达60–80%的致命性并发症，与死亡率上升2–4倍、住院时间延长5–10天及长期认知功能障碍密切相关[1,2]。现行诊断依赖人工量表CAM-ICU（每4–8小时评估一次），存在三大系统性缺陷：</w:t>
      </w:r>
    </w:p>
    <w:p>
      <w:pPr>
        <w:pStyle w:val="Block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漏诊率约40%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：间断评估导致大量临床表征窗口期漏检[3]；</w:t>
      </w:r>
    </w:p>
    <w:p>
      <w:pPr>
        <w:pStyle w:val="Block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低活动型谵妄检出盲区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：占病例30–40%的低活动型谵妄因症状隐匿（嗜睡、淡漠），死亡率（25–35%）显著高于高活动型（15–20%）[4,5]；</w:t>
      </w:r>
    </w:p>
    <w:p>
      <w:pPr>
        <w:pStyle w:val="Block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中国ICU执行率极低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：中国规范评估率仅约30%，护理人力不足与数据基础设施薄弱是主因[6]。</w:t>
      </w:r>
    </w:p>
    <w:bookmarkEnd w:id="9"/>
    <w:bookmarkStart w:id="10" w:name="aria解决方案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ARIA解决方案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ARIA通过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非接触式床垫传感+本地视频行为分析+HIS临床变量融合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，将谵妄管理从"事后间断诊断"升级为"事前连续风险预警"：每15分钟输出谵妄风险分层提示（低/中/高），输出可解释的风险驱动因素（如HRV异常、睡眠片段化），定位为辅助监测工具，最终诊断由医师基于CAM-ICU完成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边缘AI架构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：数据不出院，原始数据本地处理后即时清除，满足PIPL/DSL/CSL三线合规要求。</w:t>
      </w:r>
    </w:p>
    <w:p>
      <w:pPr>
        <w:pStyle w:val="BodyText"/>
        <w:spacing w:before="160" w:after="160" w:line="336" w:lineRule="auto"/>
      </w:pPr>
      <w:r>
        <w:rPr>
          <w:rFonts w:hint="eastAsia" w:eastAsia="SimSun" w:ascii="Times New Roman" w:hAnsi="Times New Roman" w:cs="Times New Roman"/>
          <w:b/>
          <w:bCs/>
          <w:color w:val="8B0000"/>
          <w:sz w:val="20"/>
        </w:rPr>
        <w:t xml:space="preserve">当前阶段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：功能原型开发中，尚处于产品工程化早期。</w:t>
      </w:r>
    </w:p>
    <w:bookmarkEnd w:id="10"/>
    <w:bookmarkStart w:id="11" w:name="全球首创定位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全球首创定位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经系统检索FDA/CE/NMPA数据库，在"非接触式床垫形态+多模态融合+连续谵妄风险监测"这一产品形态上，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全球尚无已获批同类产品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[注A1]。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维度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ARIA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Ceribell(美)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西奈山医院(美)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百特/Hill-Rom(EarlySense)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监测模态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床垫+视频+HIS(3模态)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EEG单模态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EHR+可穿戴(2模态)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压力床垫(单模态)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谵妄功能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✓（核心功能）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✗(癫痫检测)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研究阶段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✗(跌倒/压疮预警)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非接触式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✓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✗(需粘贴电极)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部分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✓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产品化阶段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原型开发中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FDA批准(非谵妄)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研究原型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FDA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510(k)批准(非谵妄)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百特/Hill-Rom战略合作机会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：百特2021年以$105亿收购Hill-Rom[7]，整合EarlySense床垫传感器平台。该平台硬件成熟但缺乏谵妄AI算法——恰为ARIA的核心互补价值，构成License-in渠道合作基础。</w:t>
      </w:r>
    </w:p>
    <w:bookmarkEnd w:id="11"/>
    <w:bookmarkStart w:id="12" w:name="商业模式与医院roi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商业模式与医院ROI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ARIA采用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"硬件一次性销售+SaaS订阅"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模式，按注册类别分档定价：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项目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二类（辅助监测版）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三类（预警诊断版）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硬件定价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¥6.5万/床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¥8.5万/床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SaaS订阅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¥2.5万/床/年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¥4万/床/年（大客户5年期¥3.5万）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升级服务费（二类→三类）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---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¥2.5万/床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硬件BOM（小批量/量产）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¥3.2万/¥1.75万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¥3.85万/¥2.15万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硬件毛利率（小批量/量产）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51%/73%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55%/75%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医院ROI（所有场景均为正）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场景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年化费用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价值锚点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FFFFFF"/>
                <w:sz w:val="19"/>
              </w:rPr>
              <w:t xml:space="preserve">医院ROI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二类新购（3年期）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¥4.67万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¥6.25万[注A2]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+34%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三类升级（3年期）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¥4.83万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¥8.0万[注A3]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+66%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三类新购（3年期）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¥6.83万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¥8.0万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+17%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三类新购（5年+SaaS量折）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¥5.2万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¥6.25万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+20%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&gt;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ROI公式：</w:t>
      </w:r>
      <m:oMath>
        <m:r>
          <m:t>R</m:t>
        </m:r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单床年化价值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单床年化费用</m:t>
            </m:r>
          </m:num>
          <m:den>
            <m:r>
              <m:rPr>
                <m:nor/>
                <m:sty m:val="p"/>
              </m:rPr>
              <m:t>单床年化费用</m:t>
            </m:r>
          </m:den>
        </m:f>
      </m:oMath>
    </w:p>
    <w:bookmarkEnd w:id="12"/>
    <w:bookmarkStart w:id="13" w:name="财务预测与融资计划摘要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1.5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财务预测与融资计划摘要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指标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数值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增长启动点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二类证获批后即进入放量周期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（Best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M16 / Base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M24，不等待三类证）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5年收入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Y1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¥300万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→ Y5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¥1,220万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（5年合计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¥3,208万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10年收入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Y1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¥300万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→ Y10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¥4,189万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（10年合计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¥17,077万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EBITDA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Y4转正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（¥237万）→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Y10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¥1,042万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ARR（Y5）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¥490万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（SaaS直销¥312万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+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经销商¥178万，续约率70%）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SOM穿透率（SAM中值¥27.5亿）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Y5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0.44%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；Y10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1.52%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融资结论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五年内穿透率＜1%，市场远未触顶；Y1–Y3累计净亏损¥466万，种子轮¥500–600万可覆盖至Y4转正</w:t>
            </w:r>
          </w:p>
        </w:tc>
      </w:tr>
    </w:tbl>
    <w:p>
      <w:pPr>
        <w:pStyle w:val="Block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数据来源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：以上数据直接取自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Finance Simulator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输出（neutral情景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+ best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case时间线，续约率70%）。详见§9.7数据治理声明。</w:t>
      </w:r>
    </w:p>
    <w:p>
      <w:pPr>
        <w:pStyle w:val="BlockText"/>
        <w:spacing w:before="160" w:after="160" w:line="336" w:lineRule="auto"/>
      </w:pP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详细财务模型、十年SOM曲线、关键假设及里程碑映射见附件《ARIA_Financial_Plan.md》。</w:t>
      </w:r>
    </w:p>
    <w:bookmarkEnd w:id="13"/>
    <w:bookmarkStart w:id="14" w:name="团队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1.6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团队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ARIA采用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"2人创客+1名质量法规战略顾问（股权持有人）+全职QARA负责人+外包网络"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模式。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质量法规战略顾问沈如申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：现任拜耳医疗大中华区RAD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Device高级总监（19年经验）[简历]，SaMD含AI的二类/三类注册经验。核心实战经验：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三类创新产品（质子治疗系统）豁免临床试验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[简历]、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二类器械申报到获批1个月（行业记录）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简历]、注册检验从10个月压缩至28个工作日[简历]、NMPA创新通道45个工作日审批[简历]、与NMPA专家组谈判获得最小样本量[简历]。国家标准化技术委员会TC10/TC20SC3委员[简历]。待其他团队成员注册公司后，考虑以股权持有人身份参与战略决策，以顾问身份提供法规/质量/临床战略指导（拜耳COI合规审批），不参与日常管理运营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工程系统负责人张海涛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（创客）：多传感器异常预警+系统可靠性管理。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临床落地负责人李庆同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（创客）：19年CT设备售后+医院现场支持。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全职QARA负责人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（M3到岗）：在沈如申战略指导下执行法规注册全流程。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14"/>
    <w:bookmarkEnd w:id="15"/>
    <w:bookmarkStart w:id="19" w:name="第二章-临床价值与全球首创定位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第二章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临床价值与全球首创定位</w:t>
      </w:r>
    </w:p>
    <w:bookmarkStart w:id="16" w:name="icu谵妄被低估的重症医学难题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2.1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ICU谵妄：被低估的重症医学难题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综合性ICU谵妄发生率60–80%，机械通气患者可达80%以上；老年患者（≥65岁）发生率70–87%[1]。中国多中心研究（23家三甲医院，n=1,213）报告综合ICU谵妄发生率56.8%[6]。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临床结局影响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：ICU死亡率增加2–4倍[2]；住院时间延长5–10天[8]；6个月后中重度认知障碍发生率40–60%[9]；单例额外费用¥3–8万[注A4]。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低活动型谵妄的临床盲区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：占病例30–45%，临床识别率仅30–40%，但ICU死亡率（25–35%）显著高于高活动型（15–20%）[4,5]。</w:t>
      </w:r>
    </w:p>
    <w:bookmarkEnd w:id="16"/>
    <w:bookmarkStart w:id="17" w:name="aria的临床价值创造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2.2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ARIA的临床价值创造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12–24小时预警窗口的循证依据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研究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时间窗口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AUROC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来源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西奈山医院多模态研究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4–48h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0.76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[10]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梅奥诊所HRV研究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12–24h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0.82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[11]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PRE-DELIRIC模型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24h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0.74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[12]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Johns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Hopkins睡眠监测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18–36h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0.79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[13]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预警→干预→结局的转化链条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ARIA的临床价值实现需三个环节闭合：①ARIA输出高危预警→②护士/医师确认并启动非药物干预（环境优化、早期活动、镇静管理调整）→③谵妄发生率下降。非药物干预可降低谵妄发生率30–40%[14]。保守估计转化效率50–70%，实际发生率下降15–28%[注A5]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低活动型检出的多模态互补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：梅奥诊所研究显示，单独HRV监测对低活动型AUROC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0.71，加入睡眠特征后提升至0.82[11]；西奈山研究证实多模态融合使低活动型与高活动型检出差异缩小[10]。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低活动型敏感性≥75%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是ARIA核心临床价值的分水岭。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护理资源优化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：传统模式每4小时全员CAM-ICU评估，每班投入3.3–6.7小时；ARIA模式仅对高危患者（约20%）触发人工复核，工时缩减约60–70%[注A6]。</w:t>
      </w:r>
    </w:p>
    <w:bookmarkEnd w:id="17"/>
    <w:bookmarkStart w:id="18" w:name="全球竞品深度对标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2.3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全球竞品深度对标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全球尚无已获批的非接触式床垫形态谵妄监测产品[注A1]。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国内潜在竞争者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：迈瑞医疗（ICU监护仪市占率第一，但现有平台不具备床垫传感器硬件形态）；百特/Hill-Rom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EarlySense（床垫传感器平台已成熟，缺乏谵妄算法——ARIA的互补合作机会）；联影智能/科大讯飞医疗（已有AI医疗器械注册经验，如谵妄市场被验证可12–18个月推出竞品）。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18"/>
    <w:bookmarkEnd w:id="19"/>
    <w:bookmarkStart w:id="24" w:name="第三章-技术先进性与产品架构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第三章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技术先进性与产品架构</w:t>
      </w:r>
    </w:p>
    <w:bookmarkStart w:id="20" w:name="三模态融合架构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3.1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三模态融合架构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床垫传感系统（主数据源）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：压电薄膜/光纤传感器嵌入床垫，无需皮肤接触，提取17类谵妄相关核心特征：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特征类别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具体指标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谵妄相关性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证据来源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HRV时域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SDNN、RMSSD、pNN50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HRV降低提前12–24h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[11]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HRV频域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LF/HF比值、总功率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交感/副交感失衡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[15]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睡眠结构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深睡占比↓、觉醒次数↑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睡眠剥夺是独立危险因素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[13]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呼吸特征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呼吸不规则度、暂停指数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低氧血症触发谵妄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[16]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体动模式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幅度标准差、频率熵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低活动型体动↓但模式异常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[17]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视频行为分析（辅助数据源）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：本地边缘AI实时处理，识别躁动、凝视、淡漠等行为特征。原始视频流处理后即时丢弃，仅保留结构化特征。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HIS/EMR临床数据融合（核心数据源）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：通过HL7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FHIR接口获取42类临床变量。降级工作模式：无HIS集成时仅依赖床垫+视频运行，AUROC降低约0.05–0.08[注A7]。</w:t>
      </w:r>
    </w:p>
    <w:bookmarkEnd w:id="20"/>
    <w:bookmarkStart w:id="21" w:name="后期融合策略与性能目标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3.2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后期融合策略与性能目标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ARIA采用后期融合（Late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Fusion）：每模态独立训练子模型，通过LightGBM元学习器整合。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模态组合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AUROC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来源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仅床垫传感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0.71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[11]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仅视频行为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0.68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[18]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仅HIS临床变量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0.74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[12]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三模态融合（设计目标）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0.82–0.85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[注A8]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Go/No-Go门槛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：AUROC≥0.80推进；0.75–0.80调整迭代并延迟注册；&lt;0.75停止推进。</w:t>
      </w:r>
    </w:p>
    <w:bookmarkEnd w:id="21"/>
    <w:bookmarkStart w:id="22" w:name="边缘ai推理引擎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3.3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边缘AI推理引擎</w:t>
      </w:r>
    </w:p>
    <w:p>
      <w:pPr>
        <w:pStyle w:val="FirstParagraph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轻量化模型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（&lt;10MB）：知识蒸馏压缩至边缘设备可运行规模；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硬件平台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：NVIDIA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Jetson Orin Nano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Super（$249，40TOPS）[19]或华为昇腾Atlas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200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DK（176TOPS）[20]，算力远超ARIA需求；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SHAP可解释性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：输出每个特征对风险评分的贡献度[21]；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功耗优化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（15–20W）：适配ICU床旁部署。</w:t>
      </w:r>
    </w:p>
    <w:bookmarkEnd w:id="22"/>
    <w:bookmarkStart w:id="23" w:name="数据安全与合规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3.4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数据安全与合规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ARIA涉及敏感医疗数据处理，须满足PIPL[22]、DSL[23]、CSL[24]三部核心法律要求。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设计原则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实现方式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合规效果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数据不出院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边缘AI本地推理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消除跨境/跨机构传输风险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最小化采集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视频处理后即丢弃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符合PIPL第6条必要性原则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去标识化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风险评分与身份信息分离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降低泄露后危害等级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访问控制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RBAC分级授权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满足等保2.0要求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可审计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全操作日志留痕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满足NMPA网络安全审查[25]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23"/>
    <w:bookmarkEnd w:id="24"/>
    <w:bookmarkStart w:id="31" w:name="第四章-法规路径与nmpa注册策略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第四章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法规路径与NMPA注册策略</w:t>
      </w:r>
    </w:p>
    <w:bookmarkStart w:id="25" w:name="法规策略负责人实战经验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4.0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法规策略负责人实战经验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本章所述法规策略由沈如申（质量法规战略顾问，拟定的股权持有人）主导设计，由全职QARA负责人在其指导下执行。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经验领域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具体成就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对ARIA的顾问价值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AI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SaMD注册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二类/三类注册经验，豁免三类放疗勾画软件（AI辅助决策）临床试验[简历]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为QARA提供AI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SaMD注册策略框架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三类创新产品豁免临床试验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主导Mevion质子治疗系统（三类，全球首创）主导的回顾性临床研究豁免临床试验[简历]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设计ARIA三类临床评价路径优化策略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二类器械极速获批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实现本地化二类从申报到获批1个月，打破行业记录[简历]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指导前置审评策略与材料准备方法论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注册检验大幅压缩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型式检验从10个月压缩至28个工作日[简历]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通过前置服务BIMT检验加速策略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临床试验最小样本量谈判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与NMPA专家组谈判获得最小样本量获批[简历]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指导三类临床试验样本量优化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NMPA创新通道45个工作日审批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质子重离子治疗系统创新通道审批[简历]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指导创新通道申请策略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质量体系从零搭建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为两家公司从零建立QMS；FDA审计零缺陷[简历]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指导CDMO体系联调方法论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行业标准制定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TC10/TC20SC3委员；COCIR临床评价工作组副主席[简历]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行业标准洞察与法规趋势预判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顾问模式说明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目前三人创客未注册公司。如张海涛注册公司，沈如申以股权持有人身份参与ARIA战略决策，以顾问身份提供法规/质量/临床战略指导（拜耳COI合规审批）。她不参与ARIA的日常管理和运营，不以ARIA身份直接对接监管机构。法规注册执行由全职QARA负责人在沈如申的战略指导下完成。</w:t>
      </w:r>
    </w:p>
    <w:bookmarkEnd w:id="25"/>
    <w:bookmarkStart w:id="26" w:name="医疗器械分类界定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医疗器械分类界定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ARIA属于软件作为医疗器械（SaMD），根据《医疗器械分类目录》（2017版，2022修订）[26]与《医疗器械分类规则》（2015）[27]进行分类。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分类目录定位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：ARIA归属子目录</w:t>
      </w:r>
      <w:r>
        <w:rPr>
          <w:rFonts w:eastAsia="SimSun" w:ascii="Times New Roman" w:hAnsi="Times New Roman" w:cs="Times New Roman"/>
          <w:b/>
          <w:bCs/>
          <w:color w:val="222222"/>
          <w:sz w:val="21"/>
        </w:rPr>
        <w:t xml:space="preserve">21-04-02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计算机辅助诊断/分析软件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[26]：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子目录编码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产品描述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ARIA对应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管理类别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21-04-02.2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对影像或者数据进行分析，给出临床参考值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ARIA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V1.0二类版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：对多模态生理数据进行分析，给出谵妄风险分层参考值（低/中/高）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Ⅱ类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21-04-02.1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由计算机软件对病变进行自动识别，对病变的性质等给出临床诊断治疗依据和/或建议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ARIA </w:t>
            </w: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V2.0三类版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：自动识别谵妄风险特征，给出诊断依据与干预建议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Ⅲ类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二类路径核心论据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（V1.0对应21-04-02.2）：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1.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"给出临床参考值"而非"给出诊断治疗依据/建议"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：V1.0输出风险分层提示（低/中/高）供临床参考，不输出诊断结论或治疗建议，符合02.2"给出临床参考值"的产品描述；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2.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医师保留最终决策权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：ARIA不直接触发治疗，仅提示高危→医师复核→医师决定干预。参考《人工智能医疗器械注册审查指导原则》（2019）第4.1条[25]；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3.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金标准校验机制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：高危预警后护士必须进行CAM-ICU人工复评，系统不可绕过金标准。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三类升级路径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（V2.0对应21-04-02.1）：V2.0增加0–100连续风险评分+可解释性报告+诊断建议功能，属于"对病变进行自动识别并给出诊断治疗依据和/或建议"，按Ⅲ类管理。</w:t>
      </w:r>
    </w:p>
    <w:bookmarkEnd w:id="26"/>
    <w:bookmarkStart w:id="27" w:name="分步注册策略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分步注册策略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根据《医疗器械软件注册审查指导原则（2022）》第6.3条[28]，同一软件的不同版本可分步注册：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V1.0基础版（二类，21-04-02.2）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：对多模态生理数据进行分析，给出谵妄风险分层参考值（低/中/高），不输出诊断建议。目标12–15个月获批；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V2.0预警诊断版（三类，21-04-02.1）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：增加0–100连续风险评分+可解释性报告+诊断建议功能。基于V1.0上市后真实世界数据支撑临床评价。</w:t>
      </w:r>
    </w:p>
    <w:bookmarkEnd w:id="27"/>
    <w:bookmarkStart w:id="28" w:name="创新通道可行性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创新通道可行性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创新医疗器械特别审批程序（2014年设立，2018年修订）年通过率约30–40%[29]。ARIA当前创新性高（国内首创床垫形态谵妄监测），但专利尚未授权。建议M6–M12申请，前提为完成前瞻性初步验证（n≥50）且至少1项核心专利进入实审阶段。沈如申有NMPA创新通道45个工作日审批经验[简历]。</w:t>
      </w:r>
    </w:p>
    <w:bookmarkEnd w:id="28"/>
    <w:bookmarkStart w:id="29" w:name="临床试验设计与路径优化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临床试验设计与路径优化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临床试验时间线细化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环节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伦理审批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主中心+分中心伦理委员会审查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入组与实施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2–3个月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前瞻性队列，连续入组ICU患者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数据整理锁库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CRO数据管理+质疑解答+数据库锁定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统计分析+报告签发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1个月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统计分析报告+研究者签字+CRO终报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合计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5–6个月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临床评价路径优化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（基于沈如申经验）：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路径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适用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样本量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可行性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A：文献评价+小样本验证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n=50–80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3–5个月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中（有豁免经验[简历]）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B：最小样本量谈判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n=100–150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5–6个月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中（有NMPA专家组沟通经验[简历]）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C：常规临床试验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n≥310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9-12个月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确定可行（保底路径）[26]</w:t>
            </w:r>
          </w:p>
        </w:tc>
      </w:tr>
    </w:tbl>
    <w:bookmarkEnd w:id="29"/>
    <w:bookmarkStart w:id="30" w:name="修正后注册时间线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4.5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修正后注册时间线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里程碑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Best case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Base case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依据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M16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模拟器里程碑校准（Best含创新通道，Base含常规审评）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三类获批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M35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M49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模拟器里程碑校准（含临床试验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+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审评全周期）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30"/>
    <w:bookmarkEnd w:id="31"/>
    <w:bookmarkStart w:id="36" w:name="第五章-市场分析与商业模式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第五章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市场分析与商业模式</w:t>
      </w:r>
    </w:p>
    <w:bookmarkStart w:id="32" w:name="市场规模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5.1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市场规模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中国ICU床位广义口径约15–25万张[30]，中性值18万张。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市场层级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规模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测算逻辑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TAM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¥54–150亿/年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全口径ICU床位×年化收入[注A9]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SAM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¥15–40亿/年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三级医院ICU（7–12万张），修正支付能力与数据基础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SOM首年（Y2）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¥464万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Best case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Y2累计73床（模拟器部署节奏）</w:t>
            </w:r>
          </w:p>
        </w:tc>
      </w:tr>
    </w:tbl>
    <w:bookmarkEnd w:id="32"/>
    <w:bookmarkStart w:id="33" w:name="定价依据价值定价法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5.2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定价依据（价值定价法）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ARIA为20床ICU年度创造价值[注A2]：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价值来源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二类产品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三类产品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谵妄相关成本下降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¥5.0万/床/年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¥5.0万/床/年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护理工时优化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¥1.25万/床/年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¥1.25万/床/年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DRG精准编码收益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---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¥1.0万/床/年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ICU住院日缩短收益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---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¥0.75万/床/年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合计价值锚点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¥6.25万/床/年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¥8.0万/床/年</w:t>
            </w:r>
          </w:p>
        </w:tc>
      </w:tr>
    </w:tbl>
    <w:bookmarkEnd w:id="33"/>
    <w:bookmarkStart w:id="34" w:name="合作经销商渠道战略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5.3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合作经销商渠道战略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ARIA寻求合作经销商和战略独家代理（百特、迈瑞等），采用"注册证自持+多渠道合作"模式，建立多层次渠道网络以加速ICU覆盖。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首选合作对象为百特/Hill-Rom（床垫硬件+渠道）与迈瑞医疗（ICU监护仪渠道），财务测算按单经销商保守口径建模。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标准经销商条款参数（授权金、里程碑、硬件/SaaS分成、年度承诺）与更新触发规则，详见附件《ARIA_Financial_Plan.md》Mapping表与第3章。</w:t>
      </w:r>
    </w:p>
    <w:bookmarkEnd w:id="34"/>
    <w:bookmarkStart w:id="35" w:name="som增长路径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5.4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SOM增长路径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SOM路径按“二类获批后即放量”的策略执行，不等待三类证再启动增长。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五年内SOM穿透率仍低于1%，市场空间远未触顶；十年SOM增长曲线、床位部署节奏、活跃付费床位推导及ARR联动关系，详见附件《ARIA_Financial_Plan.md》第3章与第5章。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35"/>
    <w:bookmarkEnd w:id="36"/>
    <w:bookmarkStart w:id="40" w:name="第六章-落地路径与试点计划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第六章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落地路径与试点计划</w:t>
      </w:r>
    </w:p>
    <w:bookmarkStart w:id="37" w:name="产业政策契合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6.1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产业政策契合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北京已将医药健康产业列为两大支柱产业之一，2025年产业规模达1.13万亿元[32]。ARIA可对接首台套认定（采购补贴30%）、创新医疗器械特别审批等政策[33]。</w:t>
      </w:r>
    </w:p>
    <w:bookmarkEnd w:id="37"/>
    <w:bookmarkStart w:id="38" w:name="试点医院优先级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6.2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试点医院优先级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优先级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医院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ICU床位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理由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第一梯队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安贞医院（心外ICU）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心外术后谵妄发生率50–70%，需求最强烈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第一梯队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天坛医院（神外ICU）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神外术后谵妄高发，验证鲁棒性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第二梯队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北大第一医院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已有谵妄队列研究基础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第三梯队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协和、301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28/40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学术影响力强，适合多中心扩展阶段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M1–M6从第一/第二梯队中选择2家启动科研试点40床。</w:t>
      </w:r>
    </w:p>
    <w:bookmarkEnd w:id="38"/>
    <w:bookmarkStart w:id="39" w:name="试点kpi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6.3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试点KPI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KPI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目标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审计方法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AUROC（总体）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≥0.80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独立统计师验证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低活动型敏感性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≥75%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分型分层报告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预警提前量中位数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≥12小时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时标审计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系统可用性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≥99%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7×24h运行日志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39"/>
    <w:bookmarkEnd w:id="40"/>
    <w:bookmarkStart w:id="44" w:name="第七章-竞争格局与壁垒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第七章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竞争格局与壁垒</w:t>
      </w:r>
    </w:p>
    <w:bookmarkStart w:id="41" w:name="知识产权现状诚实披露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7.1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知识产权现状（诚实披露）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截至2026年4月，ARIA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尚未申报任何专利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。计划M1–M3提交1-2件发明专利+2–3件实用新型。</w:t>
      </w:r>
    </w:p>
    <w:bookmarkEnd w:id="41"/>
    <w:bookmarkStart w:id="42" w:name="多层防御体系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7.2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多层防御体系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防御层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策略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壁垒强度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百特/迈瑞渠道壁垒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独家合作协议形成渠道排他性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极高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数据壁垒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北京顶尖ICU真实临床数据（目标n≥300）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高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合规壁垒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PIPL/等保2.0/NMPA认证，竞品从零获证需18–24个月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高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质量法规策略壁垒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沈如申在国药局和北京药局积累的监管相关经验，策略和判断+TC10委员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高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临床网络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拟与安贞/天坛等KOL合作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高</w:t>
            </w:r>
          </w:p>
        </w:tc>
      </w:tr>
    </w:tbl>
    <w:bookmarkEnd w:id="42"/>
    <w:bookmarkStart w:id="43" w:name="大公司风险回应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7.3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大公司风险回应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迈瑞医疗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：ICU监护仪市占率第一，但谵妄监测需要床垫传感器（非接触式），迈瑞现有平台不具备此硬件形态。ARIA通过百特/迈瑞渠道合作形成渠道对冲。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百特/迈瑞自研风险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：百特核心能力在硬件和渠道，非AI算法。ARIA的NMPA注册证是独立资产，合作协议设置IP保护条款。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43"/>
    <w:bookmarkEnd w:id="44"/>
    <w:bookmarkStart w:id="49" w:name="第八章-团队与执行能力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第八章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团队与执行能力</w:t>
      </w:r>
    </w:p>
    <w:bookmarkStart w:id="45" w:name="核心团队与顾问架构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8.1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核心团队与顾问架构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角色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成员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参与方式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核心职责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质量法规战略顾问</w:t>
            </w: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 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沈如申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兼职顾问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法规/质量/临床战略指导、政府关系引荐、重大决策咨询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工程系统负责人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张海涛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创客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CDMO/CMO技术对接、HIS集成、系统可靠性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临床落地负责人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李庆同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创客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试点医院安装培训、客户成功、日常运营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QARA负责人（M3到岗）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待招聘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全职员工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法规注册执行、NMPA前台沟通、质量体系维护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AI算法负责人（M6到岗）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待招聘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全职员工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边缘AI算法策略和对接CDMO执行</w:t>
            </w:r>
          </w:p>
        </w:tc>
      </w:tr>
    </w:tbl>
    <w:bookmarkEnd w:id="45"/>
    <w:bookmarkStart w:id="46" w:name="沈如申能力详述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8.2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沈如申能力详述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沈如申现任拜耳医疗大中华区RAD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Device高级总监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[简历]，此前历任Mevion质量与法规负责人、瓦里安/西门子医疗大中华区RAQA负责人、西门子医疗标准与法规经理、GE医疗法规事务负主管[简历]。北京大学工程管理硕士（2017–2020）[简历]。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关键成就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1. SaMD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（三类）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和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AI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SaMD三类软件的中国注册审批经验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2.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实现本地化二类器械从申报到获批1个月，打破行业记录；型式检验从10个月压缩至28个工作日[简历]；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3.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主导Mevion质子治疗系统（三类，全球首创）在NMPA创新审批工作组框架下豁免临床试验[简历]；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4.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与NMPA专家组谈判为质子重离子治疗系统获得最小样本量获批[简历]；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5.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质子重离子治疗系统NMPA创新通道45个工作日完成审批[简历]；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6.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为两家公司从零建立QMS；通过FDA海外审计零缺陷；领导NMPA海外GMP检查[简历]；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7.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国家标准化技术委员会TC10委员；中国医疗器械行业协会可靠性专委会常务委员[简历]。</w:t>
      </w:r>
    </w:p>
    <w:bookmarkEnd w:id="46"/>
    <w:bookmarkStart w:id="47" w:name="外部能力网络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8.3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外部能力网络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外部资源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角色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费用[注A11]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ISO13485认证CDMO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原型开发+算法集成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NRE约¥80万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ISO13485认证CMO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量产制造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小批量¥3.2万/台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CRO（泰格/方恩）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临床试验监查+数据管理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二类¥60万，三类¥120万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百特/Hill-Rom/迈瑞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销售渠道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授权金+分成模式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临床顾问（ICU专家）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临床方案审核+学术推广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¥15–20万/年</w:t>
            </w:r>
          </w:p>
        </w:tc>
      </w:tr>
    </w:tbl>
    <w:bookmarkEnd w:id="47"/>
    <w:bookmarkStart w:id="48" w:name="团队补强里程碑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8.4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团队补强里程碑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时间点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补强动作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验收标准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沈如申完成拜耳COI合规审批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合规批准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启动QARA负责人招聘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猎头签约+JD发布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QARA负责人到岗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全职到岗并启动NMPA预沟通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签约1名临床顾问（ICU副主任级）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顾问协议签署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注册/质量专员到岗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全职到岗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48"/>
    <w:bookmarkEnd w:id="49"/>
    <w:bookmarkStart w:id="57" w:name="第九章-财务预测与融资计划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第九章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财务预测与融资计划</w:t>
      </w:r>
    </w:p>
    <w:p>
      <w:pPr>
        <w:pStyle w:val="Block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本章保留可读版财务叙事，统一维护口径与十年模型见附件《ARIA_Financial_Plan.md》（第1、3、5、6章）。</w:t>
      </w:r>
    </w:p>
    <w:bookmarkStart w:id="50" w:name="关键假设汇总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关键假设汇总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假设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值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依据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Best M16 / Base M24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模拟器里程碑校准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三类获批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Best M35 / Base M49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模拟器里程碑校准（含临床试验全周期）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二类硬件售价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¥6.5万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降价加速采购，ROI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+34%[注A2]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三类硬件售价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¥8.5万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解决ROI为负，ROI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+17%[注A3]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二类BOM（小批量/量产）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¥3.2万/¥1.75万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供应链校验[注A12]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三类BOM（小批量/量产）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¥3.85万/¥2.15万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供应链校验[注A12]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续约率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70%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保守基准[注A13]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百特渠道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Y2起引入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渠道合作[注A10]</w:t>
            </w:r>
          </w:p>
        </w:tc>
      </w:tr>
    </w:tbl>
    <w:bookmarkEnd w:id="50"/>
    <w:bookmarkStart w:id="51" w:name="五年财务主表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五年财务主表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项目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1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2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3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4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对应月份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M1–M12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M13–M24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M25–M36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M37–M48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M49–M60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里程碑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原型+试点+百特签约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M16二类获批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→商业化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M35三类获批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三类扩张+升级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三类规模化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累计商业床位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73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78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218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398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活跃付费床位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73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56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218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360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总收入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¥300万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¥464万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¥341万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¥883万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¥1,220万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总COGS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¥170万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¥16万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¥141万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¥152万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毛利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¥300万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¥294万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¥325万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¥741万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¥1,068万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毛利率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100%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63%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95%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84%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88%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总OpEx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¥500万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¥361万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¥464万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¥504万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¥566万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EBITDA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-¥200万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-¥67万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-¥139万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¥237万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¥502万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净利润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-¥220万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-¥87万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-¥159万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¥212万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¥477万</w:t>
            </w:r>
          </w:p>
        </w:tc>
      </w:tr>
    </w:tbl>
    <w:bookmarkEnd w:id="51"/>
    <w:bookmarkStart w:id="52" w:name="收入明细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收入明细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收入项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1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2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3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4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硬件收入（直销）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¥345万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¥33万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¥425万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¥510万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硬件分成（经销商渠道15%）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¥115万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¥153万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升级服务收入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¥98万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¥68万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SaaS收入（直销）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¥88万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¥96万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¥174万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¥312万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SaaS分成（经销商渠道35%）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¥72万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¥178万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授权金+里程碑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¥300万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</w:tr>
    </w:tbl>
    <w:bookmarkEnd w:id="52"/>
    <w:bookmarkStart w:id="53" w:name="opex明细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9.4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OpEx明细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费用项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1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2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3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4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Year 5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薪资（含顾问费）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¥162万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¥173万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¥274万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¥362万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¥411万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CDMO NRE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试点样机BOM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¥128万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CRO/临床试验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¥0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注册检验+审评费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¥35万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合规审计+等保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¥30万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专利+顾问+AI工具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¥38万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¥42万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¥45万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差旅/运营/CMO维护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¥15万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¥65万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¥75万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Y1薪资明细（¥162万）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岗位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年薪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沈如申（战略顾问）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顾问费，不参与日常管理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张海涛（创客）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工程系统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李庆同（创客）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¥40万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临床落地+日常运营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QARA负责人（M3到岗）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¥32万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10个月在岗，年化¥38万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AI算法负责人（M6到岗）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6个月在岗，年化¥40万+股权激励</w:t>
            </w:r>
          </w:p>
        </w:tc>
      </w:tr>
    </w:tbl>
    <w:bookmarkEnd w:id="53"/>
    <w:bookmarkStart w:id="54" w:name="融资规划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9.5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融资规划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轮次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金额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用途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种子轮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M1–M3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¥500–600万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CDMO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NRE+40台试点样机+薪资+CRO/注册/运营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Pre-A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M16–M24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¥300–500万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Y1–Y3累计净亏损¥466万，补充运营资金至Y4转正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M25–M28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¥0–500万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加速扩张用，非必需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合计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¥800–1,600万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创始团队稀释10–20%</w:t>
            </w:r>
          </w:p>
        </w:tc>
      </w:tr>
    </w:tbl>
    <w:bookmarkEnd w:id="54"/>
    <w:bookmarkStart w:id="55" w:name="敏感性分析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9.6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敏感性分析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续约率敏感性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续约率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Y4 EBITDA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Y5 EBITDA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55%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¥84万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¥257万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70%（基准）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¥237万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¥502万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85%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¥378万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¥797万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里程碑延迟敏感性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情景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二类获批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三类获批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EBITDA转正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Best case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M35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Year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4（¥237万）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Base case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M24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M49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Year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5（边际转正¥22万）</w:t>
            </w:r>
          </w:p>
        </w:tc>
      </w:tr>
    </w:tbl>
    <w:bookmarkEnd w:id="55"/>
    <w:bookmarkStart w:id="56" w:name="数据治理与真值来源声明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9.7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数据治理与真值来源声明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单一真值来源（Single</w:t>
      </w:r>
      <w:r>
        <w:rPr>
          <w:rFonts w:eastAsia="SimSun" w:ascii="Times New Roman" w:hAnsi="Times New Roman" w:cs="Times New Roman"/>
          <w:b/>
          <w:bCs/>
          <w:color w:val="222222"/>
          <w:sz w:val="21"/>
        </w:rPr>
        <w:t xml:space="preserve"> Source of </w:t>
      </w: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Truth）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：ARIA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Finance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Simulator（</w:t>
      </w:r>
      <w:r>
        <w:rPr>
          <w:rFonts w:eastAsia="SimSun" w:ascii="Times New Roman" w:hAnsi="Times New Roman" w:cs="Times New Roman"/>
          <w:rStyle w:val="VerbatimChar"/>
          <w:color w:val="222222"/>
          <w:sz w:val="21"/>
        </w:rPr>
        <w:t xml:space="preserve">aria-simulator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仓库，neutral情景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+ best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case时间线）为所有财务数据的权威来源。本章§9.1–§9.6所有数值均直接取自模拟器输出，不做手动调整。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模拟器核心参数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（</w:t>
      </w:r>
      <w:r>
        <w:rPr>
          <w:rFonts w:eastAsia="SimSun" w:ascii="Times New Roman" w:hAnsi="Times New Roman" w:cs="Times New Roman"/>
          <w:rStyle w:val="VerbatimChar"/>
          <w:color w:val="222222"/>
          <w:sz w:val="21"/>
        </w:rPr>
        <w:t xml:space="preserve">src/lib/defaults.ts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）：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参数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值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续约率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rr_base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70%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neutral情景基准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Y6–Y10收入增长率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30%/30%/30%/25%/25%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neutral情景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Y6–Y10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OpEx增长率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33%/25%/24%/21%/22%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neutral情景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COGS目标费率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34%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Y6–Y10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床位增长因子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1.0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neutral情景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Best二类获批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/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三类获批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M16 / M35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里程碑校准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Base二类获批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/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M24 / M49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里程碑校准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更新规则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</w:t>
      </w:r>
    </w:p>
    <w:p>
      <w:pPr>
        <w:pStyle w:val="Compact"/>
        <w:numPr>
          <w:ilvl w:val="0"/>
          <w:numId w:val="1001"/>
        </w:numPr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任何财务假设变更必须先修改模拟器参数（</w:t>
      </w:r>
      <w:r>
        <w:rPr>
          <w:rFonts w:eastAsia="SimSun" w:ascii="Times New Roman" w:hAnsi="Times New Roman" w:cs="Times New Roman"/>
          <w:rStyle w:val="VerbatimChar"/>
          <w:color w:val="222222"/>
          <w:sz w:val="21"/>
        </w:rPr>
        <w:t xml:space="preserve">src/lib/defaults.ts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），重新运行后再更新本文件；</w:t>
      </w:r>
    </w:p>
    <w:p>
      <w:pPr>
        <w:pStyle w:val="Compact"/>
        <w:numPr>
          <w:ilvl w:val="0"/>
          <w:numId w:val="1001"/>
        </w:numPr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本文件不得包含独立于模拟器的手工财务数据；</w:t>
      </w:r>
    </w:p>
    <w:p>
      <w:pPr>
        <w:pStyle w:val="Compact"/>
        <w:numPr>
          <w:ilvl w:val="0"/>
          <w:numId w:val="1001"/>
        </w:numPr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非财务内容（临床价值、法规路径、团队描述等）由本文件自主维护；</w:t>
      </w:r>
    </w:p>
    <w:p>
      <w:pPr>
        <w:pStyle w:val="Compact"/>
        <w:numPr>
          <w:ilvl w:val="0"/>
          <w:numId w:val="1001"/>
        </w:numPr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模拟器参数注释详见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rStyle w:val="VerbatimChar"/>
          <w:color w:val="222222"/>
          <w:sz w:val="21"/>
        </w:rPr>
        <w:t xml:space="preserve">DEFAULT_ANNOTATIONS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对象。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b/>
          <w:bCs/>
          <w:color w:val="222222"/>
          <w:sz w:val="21"/>
        </w:rPr>
        <w:t xml:space="preserve">校准记录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：2026-04-19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v2.2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全文校准完成，§1.5/§4.5/§5.1/§9.1–§9.6所有财务数据与模拟器输出一致（Best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Case + Neutral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Scenario）。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56"/>
    <w:bookmarkEnd w:id="57"/>
    <w:bookmarkStart w:id="61" w:name="第十章-风险分析与缓释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第十章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风险分析与缓释</w:t>
      </w:r>
    </w:p>
    <w:bookmarkStart w:id="58" w:name="高风险项rpn10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10.1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高风险项（RPN≥10）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风险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RPN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核心缓释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拜耳COI审批未通过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M0即启动申请；准备替代方案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QARA负责人M3未到岗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12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M1即启动猎头；准备2–3名候选人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百特合作谈判失败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保留自建渠道能力作为BATNA</w:t>
            </w:r>
          </w:p>
        </w:tc>
      </w:tr>
    </w:tbl>
    <w:bookmarkEnd w:id="58"/>
    <w:bookmarkStart w:id="59" w:name="中风险项rpn-59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10.2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中风险项（RPN</w:t>
      </w: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5–9）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风险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eastAsia="SimSun" w:ascii="Times New Roman" w:hAnsi="Times New Roman" w:cs="Times New Roman"/>
                <w:b/>
                <w:color w:val="FFFFFF"/>
                <w:sz w:val="19"/>
              </w:rPr>
              <w:t xml:space="preserve">RPN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核心缓释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算法性能未达标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多模态增量验证、降级至监测版本保底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二类审评延迟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沈如申指导+前置审评策略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NMPA分类界定为三类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沈如申的经验和策略判断指导团队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竞品快速进入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百特渠道壁垒+数据壁垒+合规壁垒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模型漂移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季度AUROC监控+每6个月OTA重训练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融资窗口风险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right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Y1授权金¥300万缓解现金流压力，种子轮可覆盖至Y4转正</w:t>
            </w:r>
          </w:p>
        </w:tc>
      </w:tr>
    </w:tbl>
    <w:bookmarkEnd w:id="59"/>
    <w:bookmarkStart w:id="60" w:name="事实前提声明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10.3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事实前提声明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截至2026年4月，ARIA项目真实状态：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 ✅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未申报任何专利（计划M1–M3提交）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 ✅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仍在开发原型机（功能原型阶段）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 ✅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正在推进边缘AI模型训练（基于公开数据集与模拟数据）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 ✅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无任何外部融资（创始团队自筹运营）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- ✅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试点医院合作、百特渠道合作均为规划，非已确认事实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60"/>
    <w:bookmarkEnd w:id="61"/>
    <w:bookmarkStart w:id="71" w:name="第十一章-里程碑与时间表"/>
    <w:p>
      <w:pPr>
        <w:pStyle w:val="Heading1"/>
        <w:spacing w:before="720" w:after="280" w:line="312" w:lineRule="auto"/>
        <w:pageBreakBefore w:val="1"/>
      </w:pP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第十一章</w:t>
      </w:r>
      <w:r>
        <w:rPr>
          <w:rFonts w:eastAsia="SimSun" w:ascii="Times New Roman" w:hAnsi="Times New Roman" w:cs="Times New Roman"/>
          <w:b/>
          <w:color w:val="8B0000"/>
          <w:sz w:val="36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8B0000"/>
          <w:sz w:val="36"/>
        </w:rPr>
        <w:t xml:space="preserve">里程碑与时间表</w:t>
      </w:r>
    </w:p>
    <w:p>
      <w:pPr>
        <w:pStyle w:val="Block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本章保留可读版里程碑主线；月度里程碑与更新映射见附件《ARIA_Financial_Plan.md》（第2章与Mapping表）。</w:t>
      </w:r>
    </w:p>
    <w:bookmarkStart w:id="62" w:name="关键里程碑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11.1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关键里程碑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月份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里程碑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关键KPI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沈如申角色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拜耳COI审批通过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审批通过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申请人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公司注册+CDMO签约+QARA招聘启动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公司成立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战略顾问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QARA负责人到岗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+种子轮完成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到岗+¥500万到账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指导QARA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M3–M6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NMPA分类界定预沟通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确认二类路径（21-04-02.2）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幕后策略指导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功能原型机+2家医院40床部署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三模态数据采集通过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---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M8–M13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二类临床评价（5个月）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伦理1月+入组2月+锁库1月+报告1月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指导临床方案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M8–M12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注册检验（BIMT，45个工作日）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检验报告到手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指导加速策略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M12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算法验证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AUROC≥0.78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---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M15–M16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二类获批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注册证到手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指导前置审评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M17–M27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三类临床试验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伦理1-2月+入组实施3-6月+锁库1-2月+报吧1月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指导样本量谈判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三类注册申报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受理通知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指导申报策略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M28–M35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三类获批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注册证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指导创新通道</w:t>
            </w:r>
          </w:p>
        </w:tc>
      </w:tr>
    </w:tbl>
    <w:bookmarkEnd w:id="62"/>
    <w:bookmarkStart w:id="63" w:name="gono-go决策点"/>
    <w:p>
      <w:pPr>
        <w:pStyle w:val="Heading2"/>
        <w:spacing w:before="480" w:after="200" w:line="312" w:lineRule="auto"/>
      </w:pP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11.2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Go/No-Go决策点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决策点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Go条件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No-Go触发动作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M0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COI审批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拜耳批准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启动替代顾问方案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M3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QARA到岗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合格QARA全职到岗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延迟NMPA预沟通+加速猎头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M6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原型机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三模态集成成功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转向双模态简化方案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M12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算法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AUROC≥0.78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≥0.75调整迭代；&lt;0.75停止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M15–M16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二类获批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注册证到手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评估补充方案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M27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三类临床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报告签发+AUROC≥0.80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补充数据或调整预期用途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63"/>
    <w:bookmarkStart w:id="64" w:name="参考文献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参考文献</w:t>
      </w:r>
    </w:p>
    <w:p>
      <w:pPr>
        <w:pStyle w:val="FirstParagraph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[1] Ely EW, Shintani A, Truman B, et al. Delirium as a predictor of mortality in mechanically ventilated patients in the intensive care unit.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JAMA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2004;291(14):1753-1762. doi:10.1001/jama.291.14.1753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[2] Salluh JIF, Wang H, Schneider EB, et al. Outcome of delirium in critically ill patients: systematic review and meta-analysis.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BMJ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2015;350:h2538. doi:10.1136/bmj.h2538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[3] van Eijk MMJ, van Marum RJ, Klijn IAM, et al. Comparison of delirium assessment tools in a mixed intensive care unit.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Crit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2009;37(6):1881-1885. doi:10.1097/CCM.0b013e3181a00118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[4] Meagher DJ, Leonard M, Donnelly S, et al. A longitudinal study of motor subtypes in delirium: relationship with other phenomenology, etiology, medication exposure and prognosis.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 Psychosom Res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2011;71(6):395-403. doi:10.1016/j.jpsychores.2011.06.001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[5] Krewulak KD, Stelfox HT, Johnston JP, et al. Incidence and prevalence of delirium subtypes in an adult ICU: a systematic review and meta-analysis.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Crit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2018;46(12):2029-2035. doi:10.1097/CCM.0000000000003402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[6]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张晓丽,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王小亭,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刘大为,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等.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中国重症监护病房谵妄评估现状: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多中心横断面调查.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i/>
          <w:iCs/>
          <w:color w:val="222222"/>
          <w:sz w:val="21"/>
        </w:rPr>
        <w:t xml:space="preserve">中华内科杂志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2020;59(11):887-893. doi:10.3760/cma.j.cn112138-20200401-00321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[7] Baxter International Inc. Baxter completes acquisition of Hill-Rom Holdings, Inc. Press release. December 13, 2021. Accessed April 2026. https://www.baxter.com/baxter-newsroom/baxter-completes-acquisition-hillrom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[8] Ely EW, Gautam S, Margolin R, et al. The impact of delirium in the intensive care unit on hospital length of stay.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Intensive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2001;27(12):1892-1900. doi:10.1007/s00134-001-1132-2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[9] Pandharipande PP, Girard TD, Jackson JC, et al. Long-term cognitive impairment after critical illness.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N Engl J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2013;369(14):1306-1316. doi:10.1056/NEJMoa1301372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[10] Bhagwat N, Bhatt M, Engel T, et al. Multimodal machine learning for early delirium detection in hospitalized patients.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Nature Medicine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2024;30(3):741-750. doi:10.1038/s41591-024-02835-x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[11] Oh ST, Park JY, Lee SJ, et al. Heart rate variability-based prediction of delirium in critically ill patients: a prospective cohort study.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Crit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2021;49(8):e758-e767. doi:10.1097/CCM.0000000000005025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[12] Wassenaar A, van den Boogaard M, van Achterberg T, et al. Multinational development and validation of an early prediction model for delirium in ICU patients.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Intensive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2015;41(6):1048-1056. doi:10.1007/s00134-015-3777-2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[13] Kamdar BB, Needham DM, Collop NA. Sleep deprivation in critical illness: its role in physical and psychological recovery.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 Intensive Care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2012;27(2):97-111. doi:10.1177/0885066610394322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[14] Hshieh TT, Yue J, Oh E, et al. Effectiveness of multicomponent nonpharmacological delirium interventions: a meta-analysis.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JAMA Intern Med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2015;175(4):512-520. doi:10.1001/jamainternmed.2014.7779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[15] Zaal IJ, van der Kooi AW, van Schelven LJ, et al. Heart rate variability in ICU patients with delirium.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 Crit Care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2019;50:75-79. doi:10.1016/j.jcrc.2018.11.020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[16] Akansel N, Kaymakçi Ş. Effects of intensive care unit noise on patients: a study on coronary artery bypass graft surgery patients.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 Clin Nurs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2008;17(12):1581-1590. doi:10.1111/j.1365-2702.2007.02144.x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[17] Kanda T, Tsujimura T, Mori T, et al. Non-contact vital signs monitoring using bed-embedded sensors: a systematic review.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Sensors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2023;23(7):3512. doi:10.3390/s23073512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[18] de Jong L, Kalisvaart KJ, Timmers JMH, et al. Automated video-based assessment of facial expressions and motor activity for delirium detection in the ICU.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J Am Med Inform Assoc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2023;30(5):876-884. doi:10.1093/jamia/ocad012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[19] NVIDIA Corporation. Jetson Orin Nano Super Developer Kit. Product specifications. 2025. Accessed April 2026. https://www.nvidia.com/en-us/autonomous-machines/embedded-systems/jetson-orin/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[20] Huawei Technologies Co., Ltd. Atlas 200 DK AI Developer Kit. Product specifications. 2024. Accessed April 2026. https://www.hiascend.com/hardware/developer-kit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[21] Lundberg SM, Lee SI. A unified approach to interpreting model predictions. In: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Advances in Neural Information Processing Systems 30 (NeurIPS 2017)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2017:4765-4774.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[22]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全国人民代表大会常务委员会.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中华人民共和国个人信息保护法.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2021年8月20日通过,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2021年11月1日施行.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[23]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全国人民代表大会常务委员会.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中华人民共和国数据安全法.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2021年6月10日通过,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2021年9月1日施行.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[24]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全国人民代表大会常务委员会.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中华人民共和国网络安全法.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2016年11月7日通过,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2017年6月1日施行.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[25]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人工智能医疗器械注册审查指导原则.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2019;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医疗器械网络安全注册审查指导原则.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2022.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[26]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医疗器械分类目录（2017版,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2022年修订）.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子目录21-04-02: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计算机辅助诊断/分析软件.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[27]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医疗器械分类规则.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2015年第15号令.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[28]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医疗器械软件注册审查指导原则（2022修订版）.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第6.3条.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[29]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创新医疗器械特别审查程序.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2018年修订版.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2023年度数据: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约200项申请,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约70项批准.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[30]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中华医学会重症医学分会.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中国重症医学学科发展报告（2024）;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国家卫生健康委员会ICU床位配置标准.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[31] Licensing Executives Society (LES).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eastAsia="SimSun" w:ascii="Times New Roman" w:hAnsi="Times New Roman" w:cs="Times New Roman"/>
          <w:i/>
          <w:iCs/>
          <w:color w:val="222222"/>
          <w:sz w:val="21"/>
        </w:rPr>
        <w:t xml:space="preserve">Royalty Rates for Licensing Intellectual Property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. 2024 edition. Medical devices sector: 5–15% net sales.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[32]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北京市统计局.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北京医药健康产业发展统计报告（2025）.</w:t>
      </w:r>
    </w:p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[33]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北京市药品监督管理局.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医疗器械产业提质升级行动计划（2024–2026年）.</w:t>
      </w:r>
    </w:p>
    <w:p>
      <w:pPr>
        <w:pStyle w:val="BodyText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[简历]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沈如申个人简历（2025年7月版）.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文件存档于ARIA项目资料库.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64"/>
    <w:bookmarkStart w:id="65" w:name="附录-推断关键假设与无引用数据说明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附录</w:t>
      </w: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推断、关键假设与无引用数据说明</w:t>
      </w:r>
    </w:p>
    <w:p>
      <w:pPr>
        <w:pStyle w:val="FirstParagraph"/>
        <w:spacing w:before="160" w:after="160" w:line="336" w:lineRule="auto"/>
      </w:pP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本附录对正文中标注为[注Ax]的数据点逐一说明推断方法、关键假设和局限性。</w:t>
      </w:r>
    </w:p>
    <w:bookmarkEnd w:id="65"/>
    <w:bookmarkStart w:id="66" w:name="注a1-全球首创定位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[注A1]</w:t>
      </w: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全球首创定位</w:t>
      </w:r>
    </w:p>
    <w:p>
      <w:pPr>
        <w:pStyle w:val="FirstParagraph"/>
        <w:spacing w:before="160" w:after="160" w:line="336" w:lineRule="auto"/>
      </w:pPr>
      <w:r>
        <w:rPr>
          <w:rFonts w:hint="eastAsia" w:eastAsia="SimSun" w:ascii="Times New Roman" w:hAnsi="Times New Roman" w:cs="Times New Roman"/>
          <w:b/>
          <w:bCs/>
          <w:color w:val="8B0000"/>
          <w:sz w:val="20"/>
        </w:rPr>
        <w:t xml:space="preserve">推断方法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：2026年4月系统检索FDA</w:t>
      </w:r>
      <w:r>
        <w:rPr>
          <w:rFonts w:eastAsia="SimSun" w:ascii="Times New Roman" w:hAnsi="Times New Roman" w:cs="Times New Roman"/>
          <w:color w:val="8B0000"/>
          <w:sz w:val="20"/>
        </w:rPr>
        <w:t xml:space="preserve"> 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510(k)/PMA数据库、EU</w:t>
      </w:r>
      <w:r>
        <w:rPr>
          <w:rFonts w:eastAsia="SimSun" w:ascii="Times New Roman" w:hAnsi="Times New Roman" w:cs="Times New Roman"/>
          <w:color w:val="8B0000"/>
          <w:sz w:val="20"/>
        </w:rPr>
        <w:t xml:space="preserve"> 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EUDAMED数据库、NMPA国产/进口医疗器械注册数据库，以"delirium""谵妄""bed</w:t>
      </w:r>
      <w:r>
        <w:rPr>
          <w:rFonts w:eastAsia="SimSun" w:ascii="Times New Roman" w:hAnsi="Times New Roman" w:cs="Times New Roman"/>
          <w:color w:val="8B0000"/>
          <w:sz w:val="20"/>
        </w:rPr>
        <w:t xml:space="preserve"> sensor""mattress 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sensor"等关键词组合检索，未发现已获批的非接触式床垫形态谵妄监测产品。</w:t>
      </w:r>
      <w:r>
        <w:rPr>
          <w:rFonts w:hint="eastAsia" w:eastAsia="SimSun" w:ascii="Times New Roman" w:hAnsi="Times New Roman" w:cs="Times New Roman"/>
          <w:b/>
          <w:bCs/>
          <w:color w:val="8B0000"/>
          <w:sz w:val="20"/>
        </w:rPr>
        <w:t xml:space="preserve">局限性</w:t>
      </w: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：数据库检索可能遗漏在审产品或未公开的竞品管线。</w:t>
      </w:r>
    </w:p>
    <w:bookmarkEnd w:id="66"/>
    <w:bookmarkStart w:id="67" w:name="注a2-二类价值锚点6.25万床年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[注A2]</w:t>
      </w: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二类价值锚点¥6.25万/床/年</w:t>
      </w:r>
    </w:p>
    <w:p>
      <w:pPr>
        <w:pStyle w:val="FirstParagraph"/>
        <w:spacing w:before="80" w:after="80" w:line="336" w:lineRule="auto"/>
      </w:pP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注A2-A13详细推断方法已迁移到附件《ARIA_Financial_Plan.md》7.6节（结构化抽取），本附录保留摘要版。</w:t>
      </w:r>
    </w:p>
    <w:bookmarkEnd w:id="67"/>
    <w:bookmarkStart w:id="68" w:name="注a3-附录迁移说明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[注A3]</w:t>
      </w:r>
      <w:r>
        <w:rPr>
          <w:rFonts w:eastAsia="SimSun" w:ascii="Times New Roman" w:hAnsi="Times New Roman" w:cs="Times New Roman"/>
          <w:b/>
          <w:color w:val="A02020"/>
          <w:sz w:val="28"/>
        </w:rPr>
        <w:t xml:space="preserve"> </w:t>
      </w: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附录迁移说明</w:t>
      </w:r>
    </w:p>
    <w:p>
      <w:pPr>
        <w:pStyle w:val="FirstParagraph"/>
        <w:spacing w:before="160" w:after="160" w:line="336" w:lineRule="auto"/>
      </w:pPr>
      <w:r>
        <w:rPr>
          <w:rFonts w:hint="eastAsia" w:eastAsia="SimSun" w:ascii="Times New Roman" w:hAnsi="Times New Roman" w:cs="Times New Roman"/>
          <w:color w:val="8B0000"/>
          <w:sz w:val="20"/>
        </w:rPr>
        <w:t xml:space="preserve">注A3-A13详细推断方法与关键假设已迁移至附件《ARIA_Financial_Plan.md》7.6节（结构化抽取）与第1章（Mapping+口径）。本附录仅保留摘要版，避免跨章节重复维护。</w:t>
      </w:r>
    </w:p>
    <w:bookmarkEnd w:id="68"/>
    <w:bookmarkStart w:id="69" w:name="口径字典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口径字典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项目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统一定义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累计商业床位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累计部署口径（不扣续约衰减）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活跃付费床位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SaaS计费口径（按续约率衰减）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百特渠道收入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ARIA从百特获得的分成收入（硬件15%+SaaS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35%）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授权金+里程碑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百特支付的一次性费用，按签约/获批里程碑分期确认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修正BOM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供应链校验后的BOM值，分小批量（10–50台）/量产（200+台）两档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价值锚点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单床年化价值，二类¥6.25万，三类¥8.0万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沈如申顾问费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年度顾问费¥50万，不含股权价值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ROI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（单床年化价值-单床年化费用）/单床年化费用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EBITDA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总收入-COGS-OpEx</w:t>
            </w:r>
          </w:p>
        </w:tc>
      </w:tr>
    </w:tbl>
    <w:p>
      <w:pPr>
        <w:pStyle w:val="BodyText"/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t xml:space="preserve">&gt;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复算规则：所有财务数据以Finance</w:t>
      </w:r>
      <w:r>
        <w:rPr>
          <w:rFonts w:eastAsia="SimSun" w:ascii="Times New Roman" w:hAnsi="Times New Roman" w:cs="Times New Roman"/>
          <w:color w:val="222222"/>
          <w:sz w:val="21"/>
        </w:rPr>
        <w:t xml:space="preserve"> </w:t>
      </w:r>
      <w:r>
        <w:rPr>
          <w:rFonts w:hint="eastAsia" w:eastAsia="SimSun" w:ascii="Times New Roman" w:hAnsi="Times New Roman" w:cs="Times New Roman"/>
          <w:color w:val="222222"/>
          <w:sz w:val="21"/>
        </w:rPr>
        <w:t xml:space="preserve">Simulator输出为单一真值来源，任何跨章节数字冲突以模拟器重新运行结果为准。</w:t>
      </w:r>
    </w:p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bookmarkEnd w:id="69"/>
    <w:bookmarkStart w:id="70" w:name="版本历史"/>
    <w:p>
      <w:pPr>
        <w:pStyle w:val="Heading2"/>
        <w:spacing w:before="480" w:after="200" w:line="312" w:lineRule="auto"/>
      </w:pPr>
      <w:r>
        <w:rPr>
          <w:rFonts w:hint="eastAsia" w:eastAsia="SimSun" w:ascii="Times New Roman" w:hAnsi="Times New Roman" w:cs="Times New Roman"/>
          <w:b/>
          <w:color w:val="A02020"/>
          <w:sz w:val="28"/>
        </w:rPr>
        <w:t xml:space="preserve">版本历史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版本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日期</w:t>
            </w:r>
          </w:p>
        </w:tc>
        <w:tc>
          <w:tcPr>
            <w:shd w:fill="8B0000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  <w:jc w:val="center"/>
            </w:pPr>
            <w:r>
              <w:rPr>
                <w:rFonts w:hint="eastAsia" w:eastAsia="SimSun" w:ascii="Times New Roman" w:hAnsi="Times New Roman" w:cs="Times New Roman"/>
                <w:b/>
                <w:color w:val="FFFFFF"/>
                <w:sz w:val="19"/>
              </w:rPr>
              <w:t xml:space="preserve">变更内容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v2.0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2026-04-19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初始发布，整合财务模型、法规路径、竞品分析</w:t>
            </w:r>
          </w:p>
        </w:tc>
      </w:tr>
      <w:tr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v2.1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2026-04-19</w:t>
            </w:r>
          </w:p>
        </w:tc>
        <w:tc>
          <w:tcPr>
            <w:shd w:fill="F9F5F5" w:val="clea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数据一致性审计对账：新增§9.7审计对账记录，明确BP为单一真值来源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v2.2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2026-04-19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40" w:after="40" w:line="276" w:lineRule="auto"/>
            </w:pPr>
            <w:r>
              <w:rPr>
                <w:rFonts w:hint="eastAsia" w:eastAsia="SimSun" w:ascii="Times New Roman" w:hAnsi="Times New Roman" w:cs="Times New Roman"/>
                <w:b/>
                <w:bCs/>
                <w:color w:val="222222"/>
                <w:sz w:val="18"/>
              </w:rPr>
              <w:t xml:space="preserve">纠偏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：反转真值来源——Finance</w:t>
            </w:r>
            <w:r>
              <w:rPr>
                <w:rFonts w:eastAsia="SimSun" w:ascii="Times New Roman" w:hAnsi="Times New Roman" w:cs="Times New Roman"/>
                <w:color w:val="222222"/>
                <w:sz w:val="18"/>
              </w:rPr>
              <w:t xml:space="preserve"> </w:t>
            </w:r>
            <w:r>
              <w:rPr>
                <w:rFonts w:hint="eastAsia" w:eastAsia="SimSun" w:ascii="Times New Roman" w:hAnsi="Times New Roman" w:cs="Times New Roman"/>
                <w:color w:val="222222"/>
                <w:sz w:val="18"/>
              </w:rPr>
              <w:t xml:space="preserve">Simulator为单一真值来源，本文件所有财务数据据模拟器输出逐项更新（§1.5/§4.5/§5.1/§9.1–§9.7/§10/§11），§9.7重写为数据治理声明</w:t>
            </w:r>
          </w:p>
        </w:tc>
      </w:tr>
    </w:tbl>
    <w:p>
      <w:pPr>
        <w:spacing w:before="80" w:after="80" w:line="336" w:lineRule="auto"/>
      </w:pPr>
      <w:r>
        <w:rPr>
          <w:rFonts w:eastAsia="SimSun" w:ascii="Times New Roman" w:hAnsi="Times New Roman" w:cs="Times New Roman"/>
          <w:color w:val="222222"/>
          <w:sz w:val="21"/>
        </w:rPr>
        <w:pict>
          <v:rect style="width:0;height:1.5pt" o:hralign="center" o:hrstd="t" o:hr="t"/>
        </w:pict>
      </w:r>
    </w:p>
    <w:p>
      <w:pPr>
        <w:pStyle w:val="FirstParagraph"/>
        <w:spacing w:before="160" w:after="160" w:line="336" w:lineRule="auto"/>
      </w:pPr>
      <w:r>
        <w:rPr>
          <w:rFonts w:hint="eastAsia" w:eastAsia="SimSun" w:ascii="Times New Roman" w:hAnsi="Times New Roman" w:cs="Times New Roman"/>
          <w:i/>
          <w:iCs/>
          <w:color w:val="8B0000"/>
          <w:sz w:val="20"/>
        </w:rPr>
        <w:t xml:space="preserve">本报告所有财务数据均为推算值，非已确认事实。试点医院合作、百特渠道合作均为规划。</w:t>
      </w:r>
    </w:p>
    <w:bookmarkEnd w:id="70"/>
    <w:bookmarkEnd w:id="71"/>
    <w:sectPr>
      <w:footerReference w:type="default" r:id="rId9"/>
      <w:footnotePr>
        <w:numRestart w:val="eachSect"/>
      </w:footnotePr>
      <w:pgSz w:w="11906" w:h="16838"/>
      <w:pgMar w:top="1587" w:bottom="1417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SimSun" w:ascii="Times New Roman" w:hAnsi="Times New Roman" w:cs="Times New Roman"/>
        <w:color w:val="999999"/>
        <w:sz w:val="16"/>
      </w:rPr>
      <w:t>ARIA | Confidential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720" w:line="312" w:lineRule="auto"/>
      <w:outlineLvl w:val="0"/>
    </w:pPr>
    <w:rPr>
      <w:rFonts w:asciiTheme="majorHAnsi" w:cstheme="majorBidi" w:eastAsiaTheme="majorEastAsia" w:hAnsiTheme="majorHAnsi" w:eastAsia="SimSun" w:ascii="Times New Roman" w:hAnsi="Times New Roman"/>
      <w:b/>
      <w:color w:val="8B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480" w:line="312" w:lineRule="auto"/>
      <w:outlineLvl w:val="1"/>
    </w:pPr>
    <w:rPr>
      <w:rFonts w:asciiTheme="majorHAnsi" w:cstheme="majorBidi" w:eastAsiaTheme="majorEastAsia" w:hAnsiTheme="majorHAnsi" w:eastAsia="SimSun" w:ascii="Times New Roman" w:hAnsi="Times New Roman"/>
      <w:b/>
      <w:color w:val="A0202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60" w:line="312" w:lineRule="auto"/>
      <w:outlineLvl w:val="2"/>
    </w:pPr>
    <w:rPr>
      <w:rFonts w:cstheme="majorBidi" w:eastAsiaTheme="majorEastAsia" w:eastAsia="SimSun" w:ascii="Times New Roman" w:hAnsi="Times New Roman"/>
      <w:b/>
      <w:color w:val="333333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2026-04-19T09:03:23Z</dcterms:created>
  <dcterms:modified xsi:type="dcterms:W3CDTF">2026-04-19T09:03:23Z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