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006699"/>
        </w:rPr>
        <w:t>ЖУРНАЛ ИЗМЕНЕНИЙ</w:t>
      </w:r>
    </w:p>
    <w:p>
      <w:pPr>
        <w:spacing w:after="80"/>
      </w:pPr>
      <w:r>
        <w:rPr>
          <w:b/>
          <w:i w:val="0"/>
        </w:rPr>
        <w:t>FlowerBoss — Техническое задание</w:t>
      </w:r>
    </w:p>
    <w:p>
      <w:pPr>
        <w:spacing w:after="80"/>
      </w:pPr>
      <w:r>
        <w:rPr>
          <w:b w:val="0"/>
          <w:i/>
        </w:rPr>
        <w:t>Версия 1.0 → Версия 2.0 (исправленная и дополненная)</w:t>
      </w:r>
    </w:p>
    <w:p>
      <w:pPr>
        <w:spacing w:after="80"/>
      </w:pPr>
      <w:r>
        <w:rPr>
          <w:b w:val="0"/>
          <w:i w:val="0"/>
        </w:rPr>
      </w:r>
    </w:p>
    <w:p>
      <w:pPr>
        <w:pStyle w:val="Heading1"/>
      </w:pPr>
      <w:r>
        <w:t>1. ИСПРАВЛЕННЫЕ ОШИБКИ И ПРОТИВОРЕЧИЯ</w:t>
      </w:r>
    </w:p>
    <w:p>
      <w:pPr>
        <w:pStyle w:val="Heading2"/>
      </w:pPr>
      <w:r>
        <w:t>1.1. Противоречие в кодах резервов</w:t>
      </w:r>
    </w:p>
    <w:p>
      <w:pPr>
        <w:spacing w:after="80"/>
      </w:pPr>
      <w:r>
        <w:rPr>
          <w:b/>
          <w:i w:val="0"/>
        </w:rPr>
        <w:t>Было:</w:t>
      </w:r>
    </w:p>
    <w:p>
      <w:pPr>
        <w:spacing w:after="80"/>
      </w:pPr>
      <w:r>
        <w:rPr>
          <w:b w:val="0"/>
          <w:i w:val="0"/>
        </w:rPr>
        <w:t>В разделе 3.3.11 указано, что резерв имеет «уникальный 6-значный цифровой код». В разделе 3.6.2 (Заказы) сказано: «Создается резерв с уникальным 4-значным кодом и номером телефона». Противоречие: 6-значный или 4-значный.</w:t>
      </w:r>
    </w:p>
    <w:p>
      <w:pPr>
        <w:spacing w:after="80"/>
      </w:pPr>
      <w:r>
        <w:rPr>
          <w:b/>
          <w:i w:val="0"/>
        </w:rPr>
        <w:t>Стало:</w:t>
      </w:r>
    </w:p>
    <w:p>
      <w:pPr>
        <w:spacing w:after="80"/>
      </w:pPr>
      <w:r>
        <w:rPr>
          <w:b w:val="0"/>
          <w:i w:val="0"/>
        </w:rPr>
        <w:t>Код резерва — всегда 6-значный числовой код. Номер заказа — 4-значный. Это разные сущности, путаница устранена.</w:t>
      </w:r>
    </w:p>
    <w:p>
      <w:pPr>
        <w:pStyle w:val="Heading2"/>
      </w:pPr>
      <w:r>
        <w:t>1.2. Некорректная цветовая индикация статуса VIP-клиента</w:t>
      </w:r>
    </w:p>
    <w:p>
      <w:pPr>
        <w:spacing w:after="80"/>
      </w:pPr>
      <w:r>
        <w:rPr>
          <w:b/>
          <w:i w:val="0"/>
        </w:rPr>
        <w:t>Было:</w:t>
      </w:r>
    </w:p>
    <w:p>
      <w:pPr>
        <w:spacing w:after="80"/>
      </w:pPr>
      <w:r>
        <w:rPr>
          <w:b w:val="0"/>
          <w:i w:val="0"/>
        </w:rPr>
        <w:t>Статус клиента «VIP» обозначался красным кружком (🔴). Красный цвет традиционно означает негатив, что вводит в заблуждение.</w:t>
      </w:r>
    </w:p>
    <w:p>
      <w:pPr>
        <w:spacing w:after="80"/>
      </w:pPr>
      <w:r>
        <w:rPr>
          <w:b/>
          <w:i w:val="0"/>
        </w:rPr>
        <w:t>Стало:</w:t>
      </w:r>
    </w:p>
    <w:p>
      <w:pPr>
        <w:spacing w:after="80"/>
      </w:pPr>
      <w:r>
        <w:rPr>
          <w:b w:val="0"/>
          <w:i w:val="0"/>
        </w:rPr>
        <w:t>Статус «VIP» выделяется золотым/фиолетовым цветом. Красный оставлен только для негативных статусов. «Чёрный список» — серая индикация.</w:t>
      </w:r>
    </w:p>
    <w:p>
      <w:pPr>
        <w:pStyle w:val="Heading2"/>
      </w:pPr>
      <w:r>
        <w:t>1.3. Противоречие в правах Администратора</w:t>
      </w:r>
    </w:p>
    <w:p>
      <w:pPr>
        <w:spacing w:after="80"/>
      </w:pPr>
      <w:r>
        <w:rPr>
          <w:b/>
          <w:i w:val="0"/>
        </w:rPr>
        <w:t>Было:</w:t>
      </w:r>
    </w:p>
    <w:p>
      <w:pPr>
        <w:spacing w:after="80"/>
      </w:pPr>
      <w:r>
        <w:rPr>
          <w:b w:val="0"/>
          <w:i w:val="0"/>
        </w:rPr>
        <w:t>В описании ролей (3.12.2) указано, что Администратор не видит зарплат других сотрудников. Но в матрице прав (раздел 5.1) Администратору дан доступ к ряду финансовых данных, что создавало непоследовательность.</w:t>
      </w:r>
    </w:p>
    <w:p>
      <w:pPr>
        <w:spacing w:after="80"/>
      </w:pPr>
      <w:r>
        <w:rPr>
          <w:b/>
          <w:i w:val="0"/>
        </w:rPr>
        <w:t>Стало:</w:t>
      </w:r>
    </w:p>
    <w:p>
      <w:pPr>
        <w:spacing w:after="80"/>
      </w:pPr>
      <w:r>
        <w:rPr>
          <w:b w:val="0"/>
          <w:i w:val="0"/>
        </w:rPr>
        <w:t>Администратор видит общие итоги по зарплатам, но не детальную разбивку по сотрудникам. Матрица прав полностью согласована с описанием ролей.</w:t>
      </w:r>
    </w:p>
    <w:p>
      <w:pPr>
        <w:pStyle w:val="Heading2"/>
      </w:pPr>
      <w:r>
        <w:t>1.4. Статус «Проведён» — неоднозначность редактирования</w:t>
      </w:r>
    </w:p>
    <w:p>
      <w:pPr>
        <w:spacing w:after="80"/>
      </w:pPr>
      <w:r>
        <w:rPr>
          <w:b/>
          <w:i w:val="0"/>
        </w:rPr>
        <w:t>Было:</w:t>
      </w:r>
    </w:p>
    <w:p>
      <w:pPr>
        <w:spacing w:after="80"/>
      </w:pPr>
      <w:r>
        <w:rPr>
          <w:b w:val="0"/>
          <w:i w:val="0"/>
        </w:rPr>
        <w:t>Для документа «Приход товара» статус «Проведён» описан: «Проведен — документ проведен, товар на складе (редактирование ограничено) Можно редактировать» — противоречие в одном предложении.</w:t>
      </w:r>
    </w:p>
    <w:p>
      <w:pPr>
        <w:spacing w:after="80"/>
      </w:pPr>
      <w:r>
        <w:rPr>
          <w:b/>
          <w:i w:val="0"/>
        </w:rPr>
        <w:t>Стало:</w:t>
      </w:r>
    </w:p>
    <w:p>
      <w:pPr>
        <w:spacing w:after="80"/>
      </w:pPr>
      <w:r>
        <w:rPr>
          <w:b w:val="0"/>
          <w:i w:val="0"/>
        </w:rPr>
        <w:t>«Проведён — товар на складе, редактирование ограничено (только с правами администратора)». Чёткая формулировка.</w:t>
      </w:r>
    </w:p>
    <w:p>
      <w:pPr>
        <w:pStyle w:val="Heading2"/>
      </w:pPr>
      <w:r>
        <w:t>1.5. Нумерация разделов</w:t>
      </w:r>
    </w:p>
    <w:p>
      <w:pPr>
        <w:spacing w:after="80"/>
      </w:pPr>
      <w:r>
        <w:rPr>
          <w:b/>
          <w:i w:val="0"/>
        </w:rPr>
        <w:t>Было:</w:t>
      </w:r>
    </w:p>
    <w:p>
      <w:pPr>
        <w:spacing w:after="80"/>
      </w:pPr>
      <w:r>
        <w:rPr>
          <w:b w:val="0"/>
          <w:i w:val="0"/>
        </w:rPr>
        <w:t>Нумерация модулей начиналась с 3.1 внутри раздела 3. Файл «Добавить в ТЗ.docx» предлагал новые разделы 3.8 и 3.9, что конфликтовало с уже существующими 3.8 (Финансы) и 3.9 (Аналитика).</w:t>
      </w:r>
    </w:p>
    <w:p>
      <w:pPr>
        <w:spacing w:after="80"/>
      </w:pPr>
      <w:r>
        <w:rPr>
          <w:b/>
          <w:i w:val="0"/>
        </w:rPr>
        <w:t>Стало:</w:t>
      </w:r>
    </w:p>
    <w:p>
      <w:pPr>
        <w:spacing w:after="80"/>
      </w:pPr>
      <w:r>
        <w:rPr>
          <w:b w:val="0"/>
          <w:i w:val="0"/>
        </w:rPr>
        <w:t>Полностью пересмотрена нумерация. Каждый модуль — отдельный раздел верхнего уровня (4–15), без вложенной путаницы.</w:t>
      </w:r>
    </w:p>
    <w:p>
      <w:pPr>
        <w:pStyle w:val="Heading1"/>
      </w:pPr>
      <w:r>
        <w:t>2. ИНТЕГРИРОВАННЫЕ ПРАВКИ ИЗ ФАЙЛА «ДОБАВИТЬ В ТЗ»</w:t>
      </w:r>
    </w:p>
    <w:p>
      <w:pPr>
        <w:pStyle w:val="Heading2"/>
      </w:pPr>
      <w:r>
        <w:t>2.1. Кошельки с отрицательным балансом</w:t>
      </w:r>
    </w:p>
    <w:p>
      <w:pPr>
        <w:spacing w:after="80"/>
      </w:pPr>
      <w:r>
        <w:rPr>
          <w:b w:val="0"/>
          <w:i w:val="0"/>
        </w:rPr>
        <w:t>Добавлена концепция «Кошельков» вместо жёсткой связки «Касса + Р/С». Теперь можно создать любое количество кошельков (касса, расчётный счёт, дебетовая карта, накопительная касса, личные кошельки сотрудников). Для каждого кошелька настраивается разрешение на отрицательный баланс — ключевое для сценария «Кошелёк Дианы» (когда сотрудник оплачивает расходы из своих средств).</w:t>
      </w:r>
    </w:p>
    <w:p>
      <w:pPr>
        <w:pStyle w:val="Heading2"/>
      </w:pPr>
      <w:r>
        <w:t>2.2. Учёт затрат из личных средств сотрудников</w:t>
      </w:r>
    </w:p>
    <w:p>
      <w:pPr>
        <w:spacing w:after="80"/>
      </w:pPr>
      <w:r>
        <w:rPr>
          <w:b w:val="0"/>
          <w:i w:val="0"/>
        </w:rPr>
        <w:t>Добавлен новый раздел в модуле «Финансы»: «Затраты из личных средств сотрудников». Формирование кредиторской задолженности перед сотрудником при внесении таких затрат. Погашение — наличными или переводом на карту.</w:t>
      </w:r>
    </w:p>
    <w:p>
      <w:pPr>
        <w:pStyle w:val="Heading2"/>
      </w:pPr>
      <w:r>
        <w:t>2.3. Оплата на личную карту сотрудника</w:t>
      </w:r>
    </w:p>
    <w:p>
      <w:pPr>
        <w:spacing w:after="80"/>
      </w:pPr>
      <w:r>
        <w:rPr>
          <w:b w:val="0"/>
          <w:i w:val="0"/>
        </w:rPr>
        <w:t>Добавлен способ оплаты «На личную карту сотрудника» в быстрой продаже и заказах. При таком способе автоматически создаётся дебиторская задолженность сотрудника перед магазином.</w:t>
      </w:r>
    </w:p>
    <w:p>
      <w:pPr>
        <w:pStyle w:val="Heading2"/>
      </w:pPr>
      <w:r>
        <w:t>2.4. Выплата зарплаты напрямую из кассы</w:t>
      </w:r>
    </w:p>
    <w:p>
      <w:pPr>
        <w:spacing w:after="80"/>
      </w:pPr>
      <w:r>
        <w:rPr>
          <w:b w:val="0"/>
          <w:i w:val="0"/>
        </w:rPr>
        <w:t>Явно указана возможность выплаты зарплаты напрямую из кассы магазина (наличными), без необходимости инкассации. Добавлен как приоритетный вариант способа выплаты.</w:t>
      </w:r>
    </w:p>
    <w:p>
      <w:pPr>
        <w:pStyle w:val="Heading1"/>
      </w:pPr>
      <w:r>
        <w:t>3. НОВЫЕ МОДУЛИ И ФУНКЦИИ</w:t>
      </w:r>
    </w:p>
    <w:p>
      <w:pPr>
        <w:pStyle w:val="Heading2"/>
      </w:pPr>
      <w:r>
        <w:t>3.1. Программа лояльности (раздел 20)</w:t>
      </w:r>
    </w:p>
    <w:p>
      <w:pPr>
        <w:spacing w:after="80"/>
      </w:pPr>
      <w:r>
        <w:rPr>
          <w:b w:val="0"/>
          <w:i w:val="0"/>
        </w:rPr>
        <w:t>Полностью новый модуль — критически важен для удержания клиентов в цветочном бизнесе.</w:t>
      </w:r>
    </w:p>
    <w:p>
      <w:pPr>
        <w:pStyle w:val="ListBullet"/>
      </w:pPr>
      <w:r>
        <w:t>Настраиваемый процент начисления бонусов</w:t>
      </w:r>
    </w:p>
    <w:p>
      <w:pPr>
        <w:pStyle w:val="ListBullet"/>
      </w:pPr>
      <w:r>
        <w:t>Курс списания (1 бонус = 1 ₽)</w:t>
      </w:r>
    </w:p>
    <w:p>
      <w:pPr>
        <w:pStyle w:val="ListBullet"/>
      </w:pPr>
      <w:r>
        <w:t>Максимальный % оплаты бонусами</w:t>
      </w:r>
    </w:p>
    <w:p>
      <w:pPr>
        <w:pStyle w:val="ListBullet"/>
      </w:pPr>
      <w:r>
        <w:t>Срок действия бонусов</w:t>
      </w:r>
    </w:p>
    <w:p>
      <w:pPr>
        <w:pStyle w:val="ListBullet"/>
      </w:pPr>
      <w:r>
        <w:t>Приветственные бонусы при регистрации</w:t>
      </w:r>
    </w:p>
    <w:p>
      <w:pPr>
        <w:pStyle w:val="ListBullet"/>
      </w:pPr>
      <w:r>
        <w:t>Уровни лояльности (Бронзовый / Серебряный / Золотой) с разным % начисления</w:t>
      </w:r>
    </w:p>
    <w:p>
      <w:pPr>
        <w:pStyle w:val="Heading2"/>
      </w:pPr>
      <w:r>
        <w:t>3.2. Ценообразование (раздел 14.8)</w:t>
      </w:r>
    </w:p>
    <w:p>
      <w:pPr>
        <w:spacing w:after="80"/>
      </w:pPr>
      <w:r>
        <w:rPr>
          <w:b w:val="0"/>
          <w:i w:val="0"/>
        </w:rPr>
        <w:t>Новый подраздел в настройках для централизованного управления наценкой:</w:t>
      </w:r>
    </w:p>
    <w:p>
      <w:pPr>
        <w:pStyle w:val="ListBullet"/>
      </w:pPr>
      <w:r>
        <w:t>Коэффициент наценки по умолчанию</w:t>
      </w:r>
    </w:p>
    <w:p>
      <w:pPr>
        <w:pStyle w:val="ListBullet"/>
      </w:pPr>
      <w:r>
        <w:t>Коэффициенты по категориям товаров</w:t>
      </w:r>
    </w:p>
    <w:p>
      <w:pPr>
        <w:pStyle w:val="ListBullet"/>
      </w:pPr>
      <w:r>
        <w:t>Сезонные коэффициенты (повышенная наценка к праздникам)</w:t>
      </w:r>
    </w:p>
    <w:p>
      <w:pPr>
        <w:pStyle w:val="ListBullet"/>
      </w:pPr>
      <w:r>
        <w:t>Минимальная маржинальность (предупреждение о продаже ниже порога)</w:t>
      </w:r>
    </w:p>
    <w:p>
      <w:pPr>
        <w:pStyle w:val="Heading2"/>
      </w:pPr>
      <w:r>
        <w:t>3.3. Воронка конверсии клиентов (раздел 11.5)</w:t>
      </w:r>
    </w:p>
    <w:p>
      <w:pPr>
        <w:spacing w:after="80"/>
      </w:pPr>
      <w:r>
        <w:rPr>
          <w:b w:val="0"/>
          <w:i w:val="0"/>
        </w:rPr>
        <w:t>Новый аналитический отчёт:</w:t>
      </w:r>
    </w:p>
    <w:p>
      <w:pPr>
        <w:pStyle w:val="ListBullet"/>
      </w:pPr>
      <w:r>
        <w:t>Сколько новых клиентов → сколько сделали первую покупку → сколько стали постоянными</w:t>
      </w:r>
    </w:p>
    <w:p>
      <w:pPr>
        <w:pStyle w:val="ListBullet"/>
      </w:pPr>
      <w:r>
        <w:t>Retention Rate (возвращаемость)</w:t>
      </w:r>
    </w:p>
    <w:p>
      <w:pPr>
        <w:pStyle w:val="ListBullet"/>
      </w:pPr>
      <w:r>
        <w:t>LTV (пожизненная ценность клиента)</w:t>
      </w:r>
    </w:p>
    <w:p>
      <w:pPr>
        <w:pStyle w:val="ListBullet"/>
      </w:pPr>
      <w:r>
        <w:t>Средний цикл покупки</w:t>
      </w:r>
    </w:p>
    <w:p>
      <w:pPr>
        <w:pStyle w:val="Heading2"/>
      </w:pPr>
      <w:r>
        <w:t>3.4. Прогнозная потребность в закупке (раздел 11.4)</w:t>
      </w:r>
    </w:p>
    <w:p>
      <w:pPr>
        <w:spacing w:after="80"/>
      </w:pPr>
      <w:r>
        <w:rPr>
          <w:b w:val="0"/>
          <w:i w:val="0"/>
        </w:rPr>
        <w:t>Расширен раздел «Прогнозирование»: добавлен расчёт рекомендуемого объёма закупки на основе средних продаж за последние N недель с учётом текущих остатков.</w:t>
      </w:r>
    </w:p>
    <w:p>
      <w:pPr>
        <w:pStyle w:val="Heading2"/>
      </w:pPr>
      <w:r>
        <w:t>3.5. Многокошельковая финансовая модель (раздел 10.1)</w:t>
      </w:r>
    </w:p>
    <w:p>
      <w:pPr>
        <w:spacing w:after="80"/>
      </w:pPr>
      <w:r>
        <w:rPr>
          <w:b w:val="0"/>
          <w:i w:val="0"/>
        </w:rPr>
        <w:t>Вместо жёстко прописанных «Касса» и «Расчётный счёт» — гибкая система настраиваемых кошельков с возможностью:</w:t>
      </w:r>
    </w:p>
    <w:p>
      <w:pPr>
        <w:pStyle w:val="ListBullet"/>
      </w:pPr>
      <w:r>
        <w:t>Создания любого количества кошельков</w:t>
      </w:r>
    </w:p>
    <w:p>
      <w:pPr>
        <w:pStyle w:val="ListBullet"/>
      </w:pPr>
      <w:r>
        <w:t>Разрешения/запрета отрицательного баланса</w:t>
      </w:r>
    </w:p>
    <w:p>
      <w:pPr>
        <w:pStyle w:val="ListBullet"/>
      </w:pPr>
      <w:r>
        <w:t>Перемещения денег между кошельками (с настраиваемой задержкой зачисления)</w:t>
      </w:r>
    </w:p>
    <w:p>
      <w:pPr>
        <w:pStyle w:val="Heading2"/>
      </w:pPr>
      <w:r>
        <w:t>3.6. Смешанная оплата — детализация</w:t>
      </w:r>
    </w:p>
    <w:p>
      <w:pPr>
        <w:spacing w:after="80"/>
      </w:pPr>
      <w:r>
        <w:rPr>
          <w:b w:val="0"/>
          <w:i w:val="0"/>
        </w:rPr>
        <w:t>Детально описан процесс смешанной оплаты (частично наличные, частично картой): поля для ввода суммы по каждому способу, контроль суммы, разнесение по разным кошелькам.</w:t>
      </w:r>
    </w:p>
    <w:p>
      <w:pPr>
        <w:pStyle w:val="Heading2"/>
      </w:pPr>
      <w:r>
        <w:t>3.7. PWA-обёртка</w:t>
      </w:r>
    </w:p>
    <w:p>
      <w:pPr>
        <w:spacing w:after="80"/>
      </w:pPr>
      <w:r>
        <w:rPr>
          <w:b w:val="0"/>
          <w:i w:val="0"/>
        </w:rPr>
        <w:t>Добавлено в технический стек (раздел 1.2): Progressive Web App для мобильных устройств. Заменяет необходимость в нативном мобильном приложении на начальном этапе.</w:t>
      </w:r>
    </w:p>
    <w:p>
      <w:pPr>
        <w:pStyle w:val="Heading1"/>
      </w:pPr>
      <w:r>
        <w:t>4. СТРУКТУРНЫЕ УЛУЧШЕНИЯ</w:t>
      </w:r>
    </w:p>
    <w:p>
      <w:pPr>
        <w:pStyle w:val="Heading2"/>
      </w:pPr>
      <w:r>
        <w:t>4.1. Пересмотрена структура бокового меню</w:t>
      </w:r>
    </w:p>
    <w:p>
      <w:pPr>
        <w:spacing w:after="80"/>
      </w:pPr>
      <w:r>
        <w:rPr>
          <w:b/>
          <w:i w:val="0"/>
        </w:rPr>
        <w:t>Изменения:</w:t>
      </w:r>
    </w:p>
    <w:p>
      <w:pPr>
        <w:pStyle w:val="ListBullet"/>
      </w:pPr>
      <w:r>
        <w:t>Добавлен раздел «Программа лояльности» в блок «Клиенты»</w:t>
      </w:r>
    </w:p>
    <w:p>
      <w:pPr>
        <w:pStyle w:val="ListBullet"/>
      </w:pPr>
      <w:r>
        <w:t>Раздел «Финансы» переименован в «Финансы и кошельки» с новой структурой подразделов</w:t>
      </w:r>
    </w:p>
    <w:p>
      <w:pPr>
        <w:pStyle w:val="ListBullet"/>
      </w:pPr>
      <w:r>
        <w:t>Добавлен раздел «Затраты из личных средств» в «Финансы»</w:t>
      </w:r>
    </w:p>
    <w:p>
      <w:pPr>
        <w:pStyle w:val="ListBullet"/>
      </w:pPr>
      <w:r>
        <w:t>Добавлен раздел «Ценообразование (наценки)» в «Настройки»</w:t>
      </w:r>
    </w:p>
    <w:p>
      <w:pPr>
        <w:pStyle w:val="ListBullet"/>
      </w:pPr>
      <w:r>
        <w:t>Добавлен раздел «Программа лояльности» в «Настройки»</w:t>
      </w:r>
    </w:p>
    <w:p>
      <w:pPr>
        <w:pStyle w:val="ListBullet"/>
      </w:pPr>
      <w:r>
        <w:t>Добавлен раздел «Воронка конверсии клиентов» в «Аналитику»</w:t>
      </w:r>
    </w:p>
    <w:p>
      <w:pPr>
        <w:pStyle w:val="ListBullet"/>
      </w:pPr>
      <w:r>
        <w:t>Убран дублирующий раздел «Резервы» из «Продажи» (резервы логичнее в «Скл аде»)</w:t>
      </w:r>
    </w:p>
    <w:p>
      <w:pPr>
        <w:pStyle w:val="Heading2"/>
      </w:pPr>
      <w:r>
        <w:t>4.2. Согласование между описаниями и матрицей прав</w:t>
      </w:r>
    </w:p>
    <w:p>
      <w:pPr>
        <w:spacing w:after="80"/>
      </w:pPr>
      <w:r>
        <w:rPr>
          <w:b w:val="0"/>
          <w:i w:val="0"/>
        </w:rPr>
        <w:t>Полная ревизия матрицы прав доступа. Все описания ролей теперь соответствуют табличной матрице.</w:t>
      </w:r>
    </w:p>
    <w:p>
      <w:pPr>
        <w:pStyle w:val="Heading2"/>
      </w:pPr>
      <w:r>
        <w:t>4.3. Целевая аудитория — акцент на титульной странице</w:t>
      </w:r>
    </w:p>
    <w:p>
      <w:pPr>
        <w:spacing w:after="80"/>
      </w:pPr>
      <w:r>
        <w:rPr>
          <w:b w:val="0"/>
          <w:i w:val="0"/>
        </w:rPr>
        <w:t>Добавлено явное указание целевой аудитории: «индивидуальные цветочные магазины, небольшие лавки и локальные сети (до 15–20 точек)». Это помогает всем членам команды разработки понимать, для кого строится продукт.</w:t>
      </w:r>
    </w:p>
    <w:p>
      <w:pPr>
        <w:pStyle w:val="Heading2"/>
      </w:pPr>
      <w:r>
        <w:t>4.4. Единообразие описания типов номенклатуры</w:t>
      </w:r>
    </w:p>
    <w:p>
      <w:pPr>
        <w:spacing w:after="80"/>
      </w:pPr>
      <w:r>
        <w:rPr>
          <w:b w:val="0"/>
          <w:i w:val="0"/>
        </w:rPr>
        <w:t>Прежде: расходные и декоративные материалы упоминались, но не было явного соединения с партионным учётом. Теперь: явно указано, что ВСЕ четыре типа номенклатуры участвуют в партионном учёте одинаково.</w:t>
      </w:r>
    </w:p>
    <w:p>
      <w:pPr>
        <w:pStyle w:val="Heading1"/>
      </w:pPr>
      <w:r>
        <w:t>5. ОПТИМИЗАЦИИ БИЗНЕС-ЛОГИКИ</w:t>
      </w:r>
    </w:p>
    <w:p>
      <w:pPr>
        <w:pStyle w:val="Heading2"/>
      </w:pPr>
      <w:r>
        <w:t>5.1. Склад по умолчанию для прихода</w:t>
      </w:r>
    </w:p>
    <w:p>
      <w:pPr>
        <w:spacing w:after="80"/>
      </w:pPr>
      <w:r>
        <w:rPr>
          <w:b w:val="0"/>
          <w:i w:val="0"/>
        </w:rPr>
        <w:t>Было: только «Склад по умолчанию для букетов».</w:t>
      </w:r>
    </w:p>
    <w:p>
      <w:pPr>
        <w:spacing w:after="80"/>
      </w:pPr>
      <w:r>
        <w:rPr>
          <w:b w:val="0"/>
          <w:i w:val="0"/>
        </w:rPr>
        <w:t>Стало: добавлен признак «Склад по умолчанию для прихода» — ускоряет оформление приёмки.</w:t>
      </w:r>
    </w:p>
    <w:p>
      <w:pPr>
        <w:pStyle w:val="Heading2"/>
      </w:pPr>
      <w:r>
        <w:t>5.2. Повышенная ставка за смену по дням недели</w:t>
      </w:r>
    </w:p>
    <w:p>
      <w:pPr>
        <w:spacing w:after="80"/>
      </w:pPr>
      <w:r>
        <w:rPr>
          <w:b w:val="0"/>
          <w:i w:val="0"/>
        </w:rPr>
        <w:t>Было: только единая ставка за смену.</w:t>
      </w:r>
    </w:p>
    <w:p>
      <w:pPr>
        <w:spacing w:after="80"/>
      </w:pPr>
      <w:r>
        <w:rPr>
          <w:b w:val="0"/>
          <w:i w:val="0"/>
        </w:rPr>
        <w:t>Стало: возможность задать разную ставку для разных дней (Пт–Сб: 1800 ₽, остальные: 1500 ₽). Отражает реальную практику цветочных магазинов, где в выходные нагрузка выше.</w:t>
      </w:r>
    </w:p>
    <w:p>
      <w:pPr>
        <w:pStyle w:val="Heading2"/>
      </w:pPr>
      <w:r>
        <w:t>5.3. Доставка исключена из расчёта процента продавца</w:t>
      </w:r>
    </w:p>
    <w:p>
      <w:pPr>
        <w:spacing w:after="80"/>
      </w:pPr>
      <w:r>
        <w:rPr>
          <w:b w:val="0"/>
          <w:i w:val="0"/>
        </w:rPr>
        <w:t>Явно указано: процент продавца считается от выручки ЗА ВЫЧЕТОМ стоимости доставки. Доставка — это услуга логистики, а не заслуга продавца.</w:t>
      </w:r>
    </w:p>
    <w:p>
      <w:pPr>
        <w:pStyle w:val="Heading2"/>
      </w:pPr>
      <w:r>
        <w:t>5.4. Уровни лояльности клиентов</w:t>
      </w:r>
    </w:p>
    <w:p>
      <w:pPr>
        <w:spacing w:after="80"/>
      </w:pPr>
      <w:r>
        <w:rPr>
          <w:b w:val="0"/>
          <w:i w:val="0"/>
        </w:rPr>
        <w:t>Добавлена система уровней: чем больше клиент покупает, тем выше процент бонусов. Это мотивирует повторные покупки.</w:t>
      </w:r>
    </w:p>
    <w:p>
      <w:pPr>
        <w:pStyle w:val="Heading2"/>
      </w:pPr>
      <w:r>
        <w:t>5.5. Пересчёт себестоимости шаблонов</w:t>
      </w:r>
    </w:p>
    <w:p>
      <w:pPr>
        <w:spacing w:after="80"/>
      </w:pPr>
      <w:r>
        <w:rPr>
          <w:b w:val="0"/>
          <w:i w:val="0"/>
        </w:rPr>
        <w:t>Добавлена автоматизация: при изменении цен компонентов автоматически пересчитывается плановая себестоимость шаблонов букетов. Это важно для контроля маржинальности.</w:t>
      </w:r>
    </w:p>
    <w:p>
      <w:pPr>
        <w:pStyle w:val="Heading2"/>
      </w:pPr>
      <w:r>
        <w:t>5.6. Сессионные ограничения</w:t>
      </w:r>
    </w:p>
    <w:p>
      <w:pPr>
        <w:spacing w:after="80"/>
      </w:pPr>
      <w:r>
        <w:rPr>
          <w:b w:val="0"/>
          <w:i w:val="0"/>
        </w:rPr>
        <w:t>Добавлено: автоматический выход при неактивности (настраиваемый тайм-аут). Важно для безопасности в торговых точках, где компьютер общий.</w:t>
      </w:r>
    </w:p>
    <w:p>
      <w:pPr>
        <w:pStyle w:val="Heading2"/>
      </w:pPr>
      <w:r>
        <w:t>5.7. Trial-период</w:t>
      </w:r>
    </w:p>
    <w:p>
      <w:pPr>
        <w:spacing w:after="80"/>
      </w:pPr>
      <w:r>
        <w:rPr>
          <w:b w:val="0"/>
          <w:i w:val="0"/>
        </w:rPr>
        <w:t>Добавлен 14-дневный бесплатный пробный период со всеми функциями — стандартная практика для SaaS, критически важная для привлечения клиентов.</w:t>
      </w:r>
    </w:p>
    <w:p>
      <w:pPr>
        <w:pStyle w:val="Heading1"/>
      </w:pPr>
      <w:r>
        <w:t>6. УТОЧНЕНИЯ И ДОПОЛНЕНИЯ К СУЩЕСТВУЮЩИМ РАЗДЕЛАМ</w:t>
      </w:r>
    </w:p>
    <w:p>
      <w:pPr>
        <w:pStyle w:val="ListBullet"/>
      </w:pPr>
      <w:r>
        <w:t>Дашборд: уточнены блоки (добавлен остаток на дебетовом счёте и накопительной кассе)</w:t>
      </w:r>
    </w:p>
    <w:p>
      <w:pPr>
        <w:pStyle w:val="ListBullet"/>
      </w:pPr>
      <w:r>
        <w:t>Номенклатура: добавлены новые типы цветов в справочники (Гербера, Пион, Гвоздика, Эустома, Гортензия)</w:t>
      </w:r>
    </w:p>
    <w:p>
      <w:pPr>
        <w:pStyle w:val="ListBullet"/>
      </w:pPr>
      <w:r>
        <w:t>Шаблоны: добавлена «Рекомендуемая цена продажи» как отдельное поле</w:t>
      </w:r>
    </w:p>
    <w:p>
      <w:pPr>
        <w:pStyle w:val="ListBullet"/>
      </w:pPr>
      <w:r>
        <w:t>Шаблоны: добавлена категория «Повседневный» и «Корпоративный» букет</w:t>
      </w:r>
    </w:p>
    <w:p>
      <w:pPr>
        <w:pStyle w:val="ListBullet"/>
      </w:pPr>
      <w:r>
        <w:t>Приход: убрано лишнее поле «Договор с поставщиком» (не критично для MVP)</w:t>
      </w:r>
    </w:p>
    <w:p>
      <w:pPr>
        <w:pStyle w:val="ListBullet"/>
      </w:pPr>
      <w:r>
        <w:t>Уценка цветов: добавлена как автоматическое действие при критическом сроке свежести</w:t>
      </w:r>
    </w:p>
    <w:p>
      <w:pPr>
        <w:pStyle w:val="ListBullet"/>
      </w:pPr>
      <w:r>
        <w:t>Курьеры: добавлено разделение на штатных и аутсорс</w:t>
      </w:r>
    </w:p>
    <w:p>
      <w:pPr>
        <w:pStyle w:val="ListBullet"/>
      </w:pPr>
      <w:r>
        <w:t>Мобильная версия: уточнена как PWA (не нативное приложение) для экономии ресурсов</w:t>
      </w:r>
    </w:p>
    <w:p>
      <w:pPr>
        <w:pStyle w:val="ListBullet"/>
      </w:pPr>
      <w:r>
        <w:t>Аутентификация: 2FA обязательна для Владельца и Администратора (ранее — «хотя бы для»)</w:t>
      </w:r>
    </w:p>
    <w:p>
      <w:pPr>
        <w:pStyle w:val="ListBullet"/>
      </w:pPr>
      <w:r>
        <w:t>Техтребования: добавлены SLA (99,5 % uptime), multi-tenancy (изоляция данных клиентов), поддержка браузеров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