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1F4E79"/>
          <w:sz w:val="56"/>
          <w:szCs w:val="56"/>
        </w:rPr>
        <w:t xml:space="preserve">NovaBridge Technologies</w:t>
      </w:r>
    </w:p>
    <w:p>
      <w:pPr>
        <w:jc w:val="center"/>
      </w:pPr>
      <w:r>
        <w:rPr>
          <w:color w:val="444444"/>
          <w:sz w:val="32"/>
          <w:szCs w:val="32"/>
        </w:rPr>
        <w:t xml:space="preserve">Internal Knowledge Base &amp; Policy Document</w:t>
      </w:r>
    </w:p>
    <w:p>
      <w:pPr>
        <w:jc w:val="center"/>
      </w:pPr>
      <w:r>
        <w:rPr>
          <w:color w:val="888888"/>
          <w:sz w:val="24"/>
          <w:szCs w:val="24"/>
        </w:rPr>
        <w:t xml:space="preserve">Version 2.1  |  Effective: January 2025</w:t>
      </w:r>
    </w:p>
    <w:p>
      <w:r>
        <w:br w:type="page"/>
      </w:r>
    </w:p>
    <w:p>
      <w:pPr>
        <w:pStyle w:val="Heading1"/>
      </w:pPr>
      <w:r>
        <w:rPr>
          <w:b/>
          <w:bCs/>
        </w:rPr>
        <w:t xml:space="preserve">1. Employee Handbook</w:t>
      </w:r>
    </w:p>
    <w:p>
      <w:pPr>
        <w:pStyle w:val="Heading2"/>
      </w:pPr>
      <w:r>
        <w:rPr>
          <w:b/>
          <w:bCs/>
        </w:rPr>
        <w:t xml:space="preserve">1.1 Company Overview</w:t>
      </w:r>
    </w:p>
    <w:p>
      <w:r>
        <w:t xml:space="preserve">NovaBridge Technologies is a mid-sized SaaS company founded in 2018, headquartered in Austin, Texas. We build workflow automation tools for e-commerce businesses. As of 2025, we employ 240 full-time staff across Engineering, Sales, Customer Support, and Operations.</w:t>
      </w:r>
    </w:p>
    <w:p>
      <w:r>
        <w:t xml:space="preserve"/>
      </w:r>
    </w:p>
    <w:p>
      <w:pPr>
        <w:pStyle w:val="Heading2"/>
      </w:pPr>
      <w:r>
        <w:rPr>
          <w:b/>
          <w:bCs/>
        </w:rPr>
        <w:t xml:space="preserve">1.2 Working Hours</w:t>
      </w:r>
    </w:p>
    <w:p>
      <w:r>
        <w:t xml:space="preserve">Standard working hours are 9:00 AM to 6:00 PM local time, Monday through Friday. Employees may flex up to 2 hours earlier or later with manager approval. Core collaboration hours are 11:00 AM to 3:00 PM in each employee's local timezone.</w:t>
      </w:r>
    </w:p>
    <w:p>
      <w:r>
        <w:t xml:space="preserve"/>
      </w:r>
    </w:p>
    <w:p>
      <w:pPr>
        <w:pStyle w:val="Heading2"/>
      </w:pPr>
      <w:r>
        <w:rPr>
          <w:b/>
          <w:bCs/>
        </w:rPr>
        <w:t xml:space="preserve">1.3 Leave Policy</w:t>
      </w:r>
    </w:p>
    <w:p>
      <w:r>
        <w:t xml:space="preserve">Full-time employees receive the following leave entitlements annually:</w:t>
      </w:r>
    </w:p>
    <w:p>
      <w:pPr>
        <w:pStyle w:val="ListParagraph"/>
        <w:numPr>
          <w:ilvl w:val="0"/>
          <w:numId w:val="2"/>
        </w:numPr>
      </w:pPr>
      <w:r>
        <w:t xml:space="preserve">Annual Leave: 20 days</w:t>
      </w:r>
    </w:p>
    <w:p>
      <w:pPr>
        <w:pStyle w:val="ListParagraph"/>
        <w:numPr>
          <w:ilvl w:val="0"/>
          <w:numId w:val="2"/>
        </w:numPr>
      </w:pPr>
      <w:r>
        <w:t xml:space="preserve">Sick Leave: 10 days (no carryover)</w:t>
      </w:r>
    </w:p>
    <w:p>
      <w:pPr>
        <w:pStyle w:val="ListParagraph"/>
        <w:numPr>
          <w:ilvl w:val="0"/>
          <w:numId w:val="2"/>
        </w:numPr>
      </w:pPr>
      <w:r>
        <w:t xml:space="preserve">Compassionate Leave: 5 days per incident</w:t>
      </w:r>
    </w:p>
    <w:p>
      <w:pPr>
        <w:pStyle w:val="ListParagraph"/>
        <w:numPr>
          <w:ilvl w:val="0"/>
          <w:numId w:val="2"/>
        </w:numPr>
      </w:pPr>
      <w:r>
        <w:t xml:space="preserve">Public Holidays: as per local jurisdiction</w:t>
      </w:r>
    </w:p>
    <w:p>
      <w:r>
        <w:t xml:space="preserve"/>
      </w:r>
    </w:p>
    <w:p>
      <w:pPr>
        <w:pStyle w:val="Heading2"/>
      </w:pPr>
      <w:r>
        <w:rPr>
          <w:b/>
          <w:bCs/>
        </w:rPr>
        <w:t xml:space="preserve">1.4 Performance Reviews</w:t>
      </w:r>
    </w:p>
    <w:p>
      <w:r>
        <w:t xml:space="preserve">Performance reviews are conducted twice per year: in June and December. Employees are evaluated on goal achievement, collaboration, and core competencies. Ratings range from 1 (Below Expectations) to 5 (Exceptional).</w:t>
      </w:r>
    </w:p>
    <w:p>
      <w:r>
        <w:br w:type="page"/>
      </w:r>
    </w:p>
    <w:p>
      <w:pPr>
        <w:pStyle w:val="Heading1"/>
      </w:pPr>
      <w:r>
        <w:rPr>
          <w:b/>
          <w:bCs/>
        </w:rPr>
        <w:t xml:space="preserve">2. Remote Work Policy</w:t>
      </w:r>
    </w:p>
    <w:p>
      <w:pPr>
        <w:pStyle w:val="Heading2"/>
      </w:pPr>
      <w:r>
        <w:rPr>
          <w:b/>
          <w:bCs/>
        </w:rPr>
        <w:t xml:space="preserve">2.1 Eligibility</w:t>
      </w:r>
    </w:p>
    <w:p>
      <w:r>
        <w:t xml:space="preserve">All employees who have completed their 90-day probation period are eligible to work remotely. Employees must maintain a reliable internet connection of at least 25 Mbps and a dedicated workspace free from significant distractions.</w:t>
      </w:r>
    </w:p>
    <w:p>
      <w:r>
        <w:t xml:space="preserve"/>
      </w:r>
    </w:p>
    <w:p>
      <w:pPr>
        <w:pStyle w:val="Heading2"/>
      </w:pPr>
      <w:r>
        <w:rPr>
          <w:b/>
          <w:bCs/>
        </w:rPr>
        <w:t xml:space="preserve">2.2 Equipment</w:t>
      </w:r>
    </w:p>
    <w:p>
      <w:r>
        <w:t xml:space="preserve">NovaBridge provides a one-time home office stipend of USD 800 for remote employees. This covers a monitor, keyboard, and peripheral setup. Laptops are always company-issued and must not be used for personal purposes beyond incidental use.</w:t>
      </w:r>
    </w:p>
    <w:p>
      <w:r>
        <w:t xml:space="preserve"/>
      </w:r>
    </w:p>
    <w:p>
      <w:pPr>
        <w:pStyle w:val="Heading2"/>
      </w:pPr>
      <w:r>
        <w:rPr>
          <w:b/>
          <w:bCs/>
        </w:rPr>
        <w:t xml:space="preserve">2.3 Hybrid Schedule</w:t>
      </w:r>
    </w:p>
    <w:p>
      <w:r>
        <w:t xml:space="preserve">Employees based within 50 km of an office are expected to attend in person a minimum of 2 days per week (Tuesday and Thursday are preferred). Fully remote roles are designated at the time of hiring and noted in the employment contract.</w:t>
      </w:r>
    </w:p>
    <w:p>
      <w:r>
        <w:t xml:space="preserve"/>
      </w:r>
    </w:p>
    <w:p>
      <w:pPr>
        <w:pStyle w:val="Heading2"/>
      </w:pPr>
      <w:r>
        <w:rPr>
          <w:b/>
          <w:bCs/>
        </w:rPr>
        <w:t xml:space="preserve">2.4 Data Security for Remote Work</w:t>
      </w:r>
    </w:p>
    <w:p>
      <w:r>
        <w:t xml:space="preserve">Remote employees must connect to company resources via the NovaBridge VPN at all times. Use of public Wi-Fi without VPN is strictly prohibited. Employees must lock their screens when stepping away and must not allow family members to use company devices.</w:t>
      </w:r>
    </w:p>
    <w:p>
      <w:r>
        <w:br w:type="page"/>
      </w:r>
    </w:p>
    <w:p>
      <w:pPr>
        <w:pStyle w:val="Heading1"/>
      </w:pPr>
      <w:r>
        <w:rPr>
          <w:b/>
          <w:bCs/>
        </w:rPr>
        <w:t xml:space="preserve">3. Expense Reimbursement Policy</w:t>
      </w:r>
    </w:p>
    <w:p>
      <w:pPr>
        <w:pStyle w:val="Heading2"/>
      </w:pPr>
      <w:r>
        <w:rPr>
          <w:b/>
          <w:bCs/>
        </w:rPr>
        <w:t xml:space="preserve">3.1 Eligible Expenses</w:t>
      </w:r>
    </w:p>
    <w:p>
      <w:r>
        <w:t xml:space="preserve">The following expenses are reimbursable with receipt:</w:t>
      </w:r>
    </w:p>
    <w:p>
      <w:pPr>
        <w:pStyle w:val="ListParagraph"/>
        <w:numPr>
          <w:ilvl w:val="0"/>
          <w:numId w:val="2"/>
        </w:numPr>
      </w:pPr>
      <w:r>
        <w:t xml:space="preserve">Business travel (flights, trains, taxis) — economy class only</w:t>
      </w:r>
    </w:p>
    <w:p>
      <w:pPr>
        <w:pStyle w:val="ListParagraph"/>
        <w:numPr>
          <w:ilvl w:val="0"/>
          <w:numId w:val="2"/>
        </w:numPr>
      </w:pPr>
      <w:r>
        <w:t xml:space="preserve">Accommodation up to USD 180/night</w:t>
      </w:r>
    </w:p>
    <w:p>
      <w:pPr>
        <w:pStyle w:val="ListParagraph"/>
        <w:numPr>
          <w:ilvl w:val="0"/>
          <w:numId w:val="2"/>
        </w:numPr>
      </w:pPr>
      <w:r>
        <w:t xml:space="preserve">Client meals up to USD 75/person</w:t>
      </w:r>
    </w:p>
    <w:p>
      <w:pPr>
        <w:pStyle w:val="ListParagraph"/>
        <w:numPr>
          <w:ilvl w:val="0"/>
          <w:numId w:val="2"/>
        </w:numPr>
      </w:pPr>
      <w:r>
        <w:t xml:space="preserve">Conference registration fees (pre-approved by manager)</w:t>
      </w:r>
    </w:p>
    <w:p>
      <w:pPr>
        <w:pStyle w:val="ListParagraph"/>
        <w:numPr>
          <w:ilvl w:val="0"/>
          <w:numId w:val="2"/>
        </w:numPr>
      </w:pPr>
      <w:r>
        <w:t xml:space="preserve">Software subscriptions required for work (pre-approved by IT)</w:t>
      </w:r>
    </w:p>
    <w:p>
      <w:r>
        <w:t xml:space="preserve"/>
      </w:r>
    </w:p>
    <w:p>
      <w:pPr>
        <w:pStyle w:val="Heading2"/>
      </w:pPr>
      <w:r>
        <w:rPr>
          <w:b/>
          <w:bCs/>
        </w:rPr>
        <w:t xml:space="preserve">3.2 Submission Process</w:t>
      </w:r>
    </w:p>
    <w:p>
      <w:r>
        <w:t xml:space="preserve">Expenses must be submitted within 30 days of being incurred via the Expensify portal. Receipts are mandatory for all claims above USD 25. Claims submitted after 30 days will be declined unless a written exception is approved by the Finance Director.</w:t>
      </w:r>
    </w:p>
    <w:p>
      <w:r>
        <w:t xml:space="preserve"/>
      </w:r>
    </w:p>
    <w:p>
      <w:pPr>
        <w:pStyle w:val="Heading2"/>
      </w:pPr>
      <w:r>
        <w:rPr>
          <w:b/>
          <w:bCs/>
        </w:rPr>
        <w:t xml:space="preserve">3.3 Reimbursement Timeline</w:t>
      </w:r>
    </w:p>
    <w:p>
      <w:r>
        <w:t xml:space="preserve">Approved expenses are reimbursed within 10 business days via direct deposit to the employee's bank account on file. International reimbursements may take up to 15 business days due to currency conversion processing.</w:t>
      </w:r>
    </w:p>
    <w:p>
      <w:r>
        <w:br w:type="page"/>
      </w:r>
    </w:p>
    <w:p>
      <w:pPr>
        <w:pStyle w:val="Heading1"/>
      </w:pPr>
      <w:r>
        <w:rPr>
          <w:b/>
          <w:bCs/>
        </w:rPr>
        <w:t xml:space="preserve">4. IT Security Policy</w:t>
      </w:r>
    </w:p>
    <w:p>
      <w:pPr>
        <w:pStyle w:val="Heading2"/>
      </w:pPr>
      <w:r>
        <w:rPr>
          <w:b/>
          <w:bCs/>
        </w:rPr>
        <w:t xml:space="preserve">4.1 Password Requirements</w:t>
      </w:r>
    </w:p>
    <w:p>
      <w:r>
        <w:t xml:space="preserve">All company accounts must use passwords that are at least 14 characters long, include uppercase and lowercase letters, numbers, and at least one special character. Passwords must be changed every 90 days. Password reuse is prohibited for the last 10 passwords.</w:t>
      </w:r>
    </w:p>
    <w:p>
      <w:r>
        <w:t xml:space="preserve"/>
      </w:r>
    </w:p>
    <w:p>
      <w:pPr>
        <w:pStyle w:val="Heading2"/>
      </w:pPr>
      <w:r>
        <w:rPr>
          <w:b/>
          <w:bCs/>
        </w:rPr>
        <w:t xml:space="preserve">4.2 Multi-Factor Authentication</w:t>
      </w:r>
    </w:p>
    <w:p>
      <w:r>
        <w:t xml:space="preserve">MFA is mandatory for all company accounts including email, Slack, GitHub, and cloud platforms. Authenticator app (Google Authenticator or Authy) is preferred over SMS-based MFA. Any account without MFA enabled will be suspended pending remediation.</w:t>
      </w:r>
    </w:p>
    <w:p>
      <w:r>
        <w:t xml:space="preserve"/>
      </w:r>
    </w:p>
    <w:p>
      <w:pPr>
        <w:pStyle w:val="Heading2"/>
      </w:pPr>
      <w:r>
        <w:rPr>
          <w:b/>
          <w:bCs/>
        </w:rPr>
        <w:t xml:space="preserve">4.3 Incident Reporting</w:t>
      </w:r>
    </w:p>
    <w:p>
      <w:r>
        <w:t xml:space="preserve">Any suspected security incident, including phishing emails, unauthorized access, or data loss, must be reported to security@novabridge.io within 1 hour of detection. Do not attempt to investigate or remediate security incidents independently.</w:t>
      </w:r>
    </w:p>
    <w:p>
      <w:r>
        <w:t xml:space="preserve"/>
      </w:r>
    </w:p>
    <w:p>
      <w:pPr>
        <w:pStyle w:val="Heading2"/>
      </w:pPr>
      <w:r>
        <w:rPr>
          <w:b/>
          <w:bCs/>
        </w:rPr>
        <w:t xml:space="preserve">4.4 Software Installation</w:t>
      </w:r>
    </w:p>
    <w:p>
      <w:r>
        <w:t xml:space="preserve">Only IT-approved software may be installed on company devices. Employees must not install browser extensions, VPNs, or utilities without explicit IT approval. Violations may result in immediate device wipe and disciplinary action.</w:t>
      </w:r>
    </w:p>
    <w:p>
      <w:r>
        <w:br w:type="page"/>
      </w:r>
    </w:p>
    <w:p>
      <w:pPr>
        <w:pStyle w:val="Heading1"/>
      </w:pPr>
      <w:r>
        <w:rPr>
          <w:b/>
          <w:bCs/>
        </w:rPr>
        <w:t xml:space="preserve">5. Customer Support Procedures</w:t>
      </w:r>
    </w:p>
    <w:p>
      <w:pPr>
        <w:pStyle w:val="Heading2"/>
      </w:pPr>
      <w:r>
        <w:rPr>
          <w:b/>
          <w:bCs/>
        </w:rPr>
        <w:t xml:space="preserve">5.1 Support Tiers</w:t>
      </w:r>
    </w:p>
    <w:p>
      <w:r>
        <w:t xml:space="preserve">NovaBridge operates a three-tier support model:</w:t>
      </w:r>
    </w:p>
    <w:p>
      <w:pPr>
        <w:pStyle w:val="ListParagraph"/>
        <w:numPr>
          <w:ilvl w:val="0"/>
          <w:numId w:val="2"/>
        </w:numPr>
      </w:pPr>
      <w:r>
        <w:t xml:space="preserve">Tier 1 (Frontline): General inquiries, password resets, billing questions. Target resolution: 4 hours.</w:t>
      </w:r>
    </w:p>
    <w:p>
      <w:pPr>
        <w:pStyle w:val="ListParagraph"/>
        <w:numPr>
          <w:ilvl w:val="0"/>
          <w:numId w:val="2"/>
        </w:numPr>
      </w:pPr>
      <w:r>
        <w:t xml:space="preserve">Tier 2 (Technical): Integration issues, API errors, workflow bugs. Target resolution: 24 hours.</w:t>
      </w:r>
    </w:p>
    <w:p>
      <w:pPr>
        <w:pStyle w:val="ListParagraph"/>
        <w:numPr>
          <w:ilvl w:val="0"/>
          <w:numId w:val="2"/>
        </w:numPr>
      </w:pPr>
      <w:r>
        <w:t xml:space="preserve">Tier 3 (Engineering): Critical bugs, data loss, outages. Target resolution: 4 hours with engineering escalation.</w:t>
      </w:r>
    </w:p>
    <w:p>
      <w:r>
        <w:t xml:space="preserve"/>
      </w:r>
    </w:p>
    <w:p>
      <w:pPr>
        <w:pStyle w:val="Heading2"/>
      </w:pPr>
      <w:r>
        <w:rPr>
          <w:b/>
          <w:bCs/>
        </w:rPr>
        <w:t xml:space="preserve">5.2 Ticket Handling</w:t>
      </w:r>
    </w:p>
    <w:p>
      <w:r>
        <w:t xml:space="preserve">All customer interactions must be logged in Zendesk within 10 minutes of first contact. Tickets must be tagged with the correct product area, severity, and customer tier. SLA clocks start from the moment a ticket is created, not when it is first responded to.</w:t>
      </w:r>
    </w:p>
    <w:p>
      <w:r>
        <w:t xml:space="preserve"/>
      </w:r>
    </w:p>
    <w:p>
      <w:pPr>
        <w:pStyle w:val="Heading2"/>
      </w:pPr>
      <w:r>
        <w:rPr>
          <w:b/>
          <w:bCs/>
        </w:rPr>
        <w:t xml:space="preserve">5.3 Customer Communication Standards</w:t>
      </w:r>
    </w:p>
    <w:p>
      <w:r>
        <w:t xml:space="preserve">Agents must acknowledge every inbound ticket within 1 hour during business hours (9 AM - 6 PM local time). Responses must be professional, empathetic, and avoid jargon. Templates are available in Zendesk but must be personalized before sending.</w:t>
      </w:r>
    </w:p>
    <w:p>
      <w:r>
        <w:br w:type="page"/>
      </w:r>
    </w:p>
    <w:p>
      <w:pPr>
        <w:pStyle w:val="Heading1"/>
      </w:pPr>
      <w:r>
        <w:rPr>
          <w:b/>
          <w:bCs/>
        </w:rPr>
        <w:t xml:space="preserve">6. Loyalty Program Rules</w:t>
      </w:r>
    </w:p>
    <w:p>
      <w:pPr>
        <w:pStyle w:val="Heading2"/>
      </w:pPr>
      <w:r>
        <w:rPr>
          <w:b/>
          <w:bCs/>
        </w:rPr>
        <w:t xml:space="preserve">6.1 Program Overview</w:t>
      </w:r>
    </w:p>
    <w:p>
      <w:r>
        <w:t xml:space="preserve">The NovaBridge Partner Rewards Program is available to customers on Professional and Enterprise plans. Points are earned on subscription renewals and add-on purchases. Points cannot be earned on one-time setup fees or professional services engagements.</w:t>
      </w:r>
    </w:p>
    <w:p>
      <w:r>
        <w:t xml:space="preserve"/>
      </w:r>
    </w:p>
    <w:p>
      <w:pPr>
        <w:pStyle w:val="Heading2"/>
      </w:pPr>
      <w:r>
        <w:rPr>
          <w:b/>
          <w:bCs/>
        </w:rPr>
        <w:t xml:space="preserve">6.2 Points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Action</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Points Earned</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Monthly subscription renewal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 points per USD 100 spent</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Annual subscription renewal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150 points per USD 100 spent</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Referring a new customer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500 points (credited after referee's 2nd payment)</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Attending a NovaBridge webinar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 points per event, max 200/year</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Completing product certification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300 points</w:t>
            </w:r>
          </w:p>
        </w:tc>
      </w:tr>
    </w:tbl>
    <w:p>
      <w:r>
        <w:t xml:space="preserve"/>
      </w:r>
    </w:p>
    <w:p>
      <w:pPr>
        <w:pStyle w:val="Heading2"/>
      </w:pPr>
      <w:r>
        <w:rPr>
          <w:b/>
          <w:bCs/>
        </w:rPr>
        <w:t xml:space="preserve">6.3 Redemption</w:t>
      </w:r>
    </w:p>
    <w:p>
      <w:r>
        <w:t xml:space="preserve">Points can be redeemed for account credits at a rate of 1000 points = USD 10 credit. Minimum redemption is 2000 points. Points expire 24 months after they are earned. Credits applied to accounts do not earn additional points.</w:t>
      </w:r>
    </w:p>
    <w:p>
      <w:r>
        <w:br w:type="page"/>
      </w:r>
    </w:p>
    <w:p>
      <w:pPr>
        <w:pStyle w:val="Heading1"/>
      </w:pPr>
      <w:r>
        <w:rPr>
          <w:b/>
          <w:bCs/>
        </w:rPr>
        <w:t xml:space="preserve">7. Shipping Policy</w:t>
      </w:r>
    </w:p>
    <w:p>
      <w:pPr>
        <w:pStyle w:val="Heading2"/>
      </w:pPr>
      <w:r>
        <w:rPr>
          <w:b/>
          <w:bCs/>
        </w:rPr>
        <w:t xml:space="preserve">7.1 Overview</w:t>
      </w:r>
    </w:p>
    <w:p>
      <w:r>
        <w:t xml:space="preserve">NovaBridge ships physical merchandise (branded hardware kits, onboarding packages) to Enterprise customers as part of their onboarding. Standard delivery applies to all orders unless expedited shipping is pre-approved.</w:t>
      </w:r>
    </w:p>
    <w:p>
      <w:r>
        <w:t xml:space="preserve"/>
      </w:r>
    </w:p>
    <w:p>
      <w:pPr>
        <w:pStyle w:val="Heading2"/>
      </w:pPr>
      <w:r>
        <w:rPr>
          <w:b/>
          <w:bCs/>
        </w:rPr>
        <w:t xml:space="preserve">7.2 Shipping Timelines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Region</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Standard</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Expedited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United States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3-5 business days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 business days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Canada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5-7 business days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2-3 business days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Europe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7-10 business days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3-5 business days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Asia Pacific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10-14 business days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5-7 business days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Rest of World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14-21 business days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7-10 business days</w:t>
            </w:r>
          </w:p>
        </w:tc>
      </w:tr>
    </w:tbl>
    <w:p>
      <w:r>
        <w:t xml:space="preserve"/>
      </w:r>
    </w:p>
    <w:p>
      <w:pPr>
        <w:pStyle w:val="Heading2"/>
      </w:pPr>
      <w:r>
        <w:rPr>
          <w:b/>
          <w:bCs/>
        </w:rPr>
        <w:t xml:space="preserve">7.3 Returns and Damaged Goods</w:t>
      </w:r>
    </w:p>
    <w:p>
      <w:r>
        <w:t xml:space="preserve">Customers must report damaged or missing items within 7 days of the delivery date. Returns are accepted within 30 days for unused items in original packaging. NovaBridge covers return shipping for items damaged in transit. Customer-initiated returns for other reasons are subject to a 15% restocking fee.</w:t>
      </w:r>
    </w:p>
    <w:p>
      <w:r>
        <w:br w:type="page"/>
      </w:r>
    </w:p>
    <w:p>
      <w:pPr>
        <w:pStyle w:val="Heading1"/>
      </w:pPr>
      <w:r>
        <w:rPr>
          <w:b/>
          <w:bCs/>
        </w:rPr>
        <w:t xml:space="preserve">8. Incident Escalation Matrix</w:t>
      </w:r>
    </w:p>
    <w:p>
      <w:pPr>
        <w:pStyle w:val="Heading2"/>
      </w:pPr>
      <w:r>
        <w:rPr>
          <w:b/>
          <w:bCs/>
        </w:rPr>
        <w:t xml:space="preserve">8.1 Severity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000"/>
        <w:gridCol w:w="2400"/>
        <w:gridCol w:w="2400"/>
      </w:tblGrid>
      <w:tr>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Severity</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Definition</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Initial Responder</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Escalate If Unresolved</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SEV-1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service outage or data loss affecting &gt;100 customers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On-call engineer + VP Engineering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 minutes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SEV-2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Partial outage or major feature broken for &gt;10 customers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Tier 3 support + Engineering lead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hours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SEV-3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Feature degraded for &lt;10 customers, workaround exists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Tier 2 support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 hours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SEV-4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Minor issue, cosmetic bug, no business impact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Tier 1 support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48 hours</w:t>
            </w:r>
          </w:p>
        </w:tc>
      </w:tr>
    </w:tbl>
    <w:p>
      <w:r>
        <w:t xml:space="preserve"/>
      </w:r>
    </w:p>
    <w:p>
      <w:pPr>
        <w:pStyle w:val="Heading2"/>
      </w:pPr>
      <w:r>
        <w:rPr>
          <w:b/>
          <w:bCs/>
        </w:rPr>
        <w:t xml:space="preserve">8.2 Communication Protocol</w:t>
      </w:r>
    </w:p>
    <w:p>
      <w:r>
        <w:t xml:space="preserve">For SEV-1 and SEV-2 incidents, a status page update must be posted within 15 minutes of detection at status.novabridge.io. Affected Enterprise customers must be notified directly via email within 30 minutes. A post-incident report (PIR) must be published within 5 business days of resolution.</w:t>
      </w:r>
    </w:p>
    <w:p>
      <w:r>
        <w:br w:type="page"/>
      </w:r>
    </w:p>
    <w:p>
      <w:pPr>
        <w:pStyle w:val="Heading1"/>
      </w:pPr>
      <w:r>
        <w:rPr>
          <w:b/>
          <w:bCs/>
        </w:rPr>
        <w:t xml:space="preserve">9. Meeting Notes</w:t>
      </w:r>
    </w:p>
    <w:p>
      <w:pPr>
        <w:pStyle w:val="Heading2"/>
      </w:pPr>
      <w:r>
        <w:rPr>
          <w:b/>
          <w:bCs/>
        </w:rPr>
        <w:t xml:space="preserve">9.1 Q1 2025 All-Hands — January 14, 2025</w:t>
      </w:r>
    </w:p>
    <w:p>
      <w:r>
        <w:t xml:space="preserve">Attendees: All 240 staff (remote and in-office)</w:t>
      </w:r>
    </w:p>
    <w:p>
      <w:r>
        <w:t xml:space="preserve">Key announcements:</w:t>
      </w:r>
    </w:p>
    <w:p>
      <w:pPr>
        <w:pStyle w:val="ListParagraph"/>
        <w:numPr>
          <w:ilvl w:val="0"/>
          <w:numId w:val="2"/>
        </w:numPr>
      </w:pPr>
      <w:r>
        <w:t xml:space="preserve">NovaBridge achieved 134% of ARR target for 2024, reaching USD 18.2M ARR.</w:t>
      </w:r>
    </w:p>
    <w:p>
      <w:pPr>
        <w:pStyle w:val="ListParagraph"/>
        <w:numPr>
          <w:ilvl w:val="0"/>
          <w:numId w:val="2"/>
        </w:numPr>
      </w:pPr>
      <w:r>
        <w:t xml:space="preserve">Two new product lines announced: NovaBridge Analytics (beta, Q2 2025) and NovaBridge Flows Pro (GA, March 2025).</w:t>
      </w:r>
    </w:p>
    <w:p>
      <w:pPr>
        <w:pStyle w:val="ListParagraph"/>
        <w:numPr>
          <w:ilvl w:val="0"/>
          <w:numId w:val="2"/>
        </w:numPr>
      </w:pPr>
      <w:r>
        <w:t xml:space="preserve">Company headcount target for 2025: grow to 310 employees, primarily in Engineering and Customer Success.</w:t>
      </w:r>
    </w:p>
    <w:p>
      <w:pPr>
        <w:pStyle w:val="ListParagraph"/>
        <w:numPr>
          <w:ilvl w:val="0"/>
          <w:numId w:val="2"/>
        </w:numPr>
      </w:pPr>
      <w:r>
        <w:t xml:space="preserve">New parental leave policy effective February 1: 16 weeks fully paid for primary caregivers, 6 weeks for secondary caregivers.</w:t>
      </w:r>
    </w:p>
    <w:p>
      <w:r>
        <w:t xml:space="preserve"/>
      </w:r>
    </w:p>
    <w:p>
      <w:pPr>
        <w:pStyle w:val="Heading2"/>
      </w:pPr>
      <w:r>
        <w:rPr>
          <w:b/>
          <w:bCs/>
        </w:rPr>
        <w:t xml:space="preserve">9.2 Customer Support Team Sync — March 3, 2025</w:t>
      </w:r>
    </w:p>
    <w:p>
      <w:r>
        <w:t xml:space="preserve">Attendees: Support team leads, VP Customer Experience</w:t>
      </w:r>
    </w:p>
    <w:p>
      <w:r>
        <w:t xml:space="preserve">Discussion points:</w:t>
      </w:r>
    </w:p>
    <w:p>
      <w:pPr>
        <w:pStyle w:val="ListParagraph"/>
        <w:numPr>
          <w:ilvl w:val="0"/>
          <w:numId w:val="2"/>
        </w:numPr>
      </w:pPr>
      <w:r>
        <w:t xml:space="preserve">Average first response time improved from 2.1 hours to 47 minutes following the Zendesk automation rollout.</w:t>
      </w:r>
    </w:p>
    <w:p>
      <w:pPr>
        <w:pStyle w:val="ListParagraph"/>
        <w:numPr>
          <w:ilvl w:val="0"/>
          <w:numId w:val="2"/>
        </w:numPr>
      </w:pPr>
      <w:r>
        <w:t xml:space="preserve">Top ticket categories in February: API authentication errors (31%), billing questions (24%), onboarding issues (19%).</w:t>
      </w:r>
    </w:p>
    <w:p>
      <w:pPr>
        <w:pStyle w:val="ListParagraph"/>
        <w:numPr>
          <w:ilvl w:val="0"/>
          <w:numId w:val="2"/>
        </w:numPr>
      </w:pPr>
      <w:r>
        <w:t xml:space="preserve">Decision: Tier 1 agents will now handle simple API key resets without escalating to Tier 2, effective March 17.</w:t>
      </w:r>
    </w:p>
    <w:p>
      <w:r>
        <w:t xml:space="preserve"/>
      </w:r>
    </w:p>
    <w:p>
      <w:pPr>
        <w:pStyle w:val="Heading2"/>
      </w:pPr>
      <w:r>
        <w:rPr>
          <w:b/>
          <w:bCs/>
        </w:rPr>
        <w:t xml:space="preserve">9.3 Security Review — April 10, 2025</w:t>
      </w:r>
    </w:p>
    <w:p>
      <w:r>
        <w:t xml:space="preserve">Attendees: IT Security team, CTO, Legal</w:t>
      </w:r>
    </w:p>
    <w:p>
      <w:r>
        <w:t xml:space="preserve">Key decisions:</w:t>
      </w:r>
    </w:p>
    <w:p>
      <w:pPr>
        <w:pStyle w:val="ListParagraph"/>
        <w:numPr>
          <w:ilvl w:val="0"/>
          <w:numId w:val="2"/>
        </w:numPr>
      </w:pPr>
      <w:r>
        <w:t xml:space="preserve">MFA enforcement deadline extended to May 1, 2025. Accounts without MFA will be locked on May 2.</w:t>
      </w:r>
    </w:p>
    <w:p>
      <w:pPr>
        <w:pStyle w:val="ListParagraph"/>
        <w:numPr>
          <w:ilvl w:val="0"/>
          <w:numId w:val="2"/>
        </w:numPr>
      </w:pPr>
      <w:r>
        <w:t xml:space="preserve">SOC 2 Type II audit scheduled for August 2025. All teams to complete security training by June 30.</w:t>
      </w:r>
    </w:p>
    <w:p>
      <w:pPr>
        <w:pStyle w:val="ListParagraph"/>
        <w:numPr>
          <w:ilvl w:val="0"/>
          <w:numId w:val="2"/>
        </w:numPr>
      </w:pPr>
      <w:r>
        <w:t xml:space="preserve">Third-party vendor security questionnaires now mandatory before any new SaaS tool is approved.</w:t>
      </w:r>
    </w:p>
    <w:p>
      <w:r>
        <w:br w:type="page"/>
      </w:r>
    </w:p>
    <w:p>
      <w:pPr>
        <w:pStyle w:val="Heading1"/>
      </w:pPr>
      <w:r>
        <w:rPr>
          <w:b/>
          <w:bCs/>
        </w:rPr>
        <w:t xml:space="preserve">10. Historical Support Tickets</w:t>
      </w:r>
    </w:p>
    <w:p>
      <w:pPr>
        <w:pStyle w:val="Heading2"/>
      </w:pPr>
      <w:r>
        <w:rPr>
          <w:b/>
          <w:bCs/>
        </w:rPr>
        <w:t xml:space="preserve">10.1 Sample Resolved Tickets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400"/>
        <w:gridCol w:w="2800"/>
        <w:gridCol w:w="15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Ticket ID</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Issue</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Resolution</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Time to Resolve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TKT-10421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 3, 2025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unable to connect Shopify integration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OAuth token had expired. Agent guided customer to re-authenticate. Documented steps added to help center.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1h 12m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TKT-10587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 18, 2025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Billing charged twice for February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Duplicate charge confirmed. Full refund issued within 2 business days. Root cause: payment gateway retry bug (fixed in v3.2.1).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4h 30m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TKT-10634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 21, 2025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Workflow not triggering on file upload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had incorrect trigger event selected. Tier 1 resolved via screen share. No bug confirmed.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TKT-10799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Mar 5, 2025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 rate limit errors on bulk operations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was exceeding 1000 req/min limit on Starter plan. Recommended upgrade to Professional plan for 5000 req/min limit.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2h 10m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TKT-10912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Mar 14, 2025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export showing incomplete records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SEV-2 confirmed. Engineering found a pagination bug in the export service. Hotfix deployed March 15. Customer data re-exported and delivered.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18h 40m</w:t>
            </w:r>
          </w:p>
        </w:tc>
      </w:tr>
    </w:tbl>
    <w:p>
      <w:r>
        <w:br w:type="page"/>
      </w:r>
    </w:p>
    <w:p>
      <w:pPr>
        <w:pStyle w:val="Heading1"/>
      </w:pPr>
      <w:r>
        <w:rPr>
          <w:b/>
          <w:bCs/>
        </w:rPr>
        <w:t xml:space="preserve">11. Frequently Asked Questions</w:t>
      </w:r>
    </w:p>
    <w:p>
      <w:pPr>
        <w:pStyle w:val="Heading2"/>
      </w:pPr>
      <w:r>
        <w:rPr>
          <w:b/>
          <w:bCs/>
        </w:rPr>
        <w:t xml:space="preserve">General</w:t>
      </w:r>
    </w:p>
    <w:p>
      <w:r>
        <w:t xml:space="preserve">Q: What is NovaBridge Technologies?</w:t>
      </w:r>
    </w:p>
    <w:p>
      <w:r>
        <w:t xml:space="preserve">A: NovaBridge is a SaaS company that builds workflow automation tools for e-commerce businesses, founded in 2018 and based in Austin, Texas.</w:t>
      </w:r>
    </w:p>
    <w:p>
      <w:r>
        <w:t xml:space="preserve"/>
      </w:r>
    </w:p>
    <w:p>
      <w:r>
        <w:t xml:space="preserve">Q: How do I contact support?</w:t>
      </w:r>
    </w:p>
    <w:p>
      <w:r>
        <w:t xml:space="preserve">A: You can reach support via the in-app chat, by emailing support@novabridge.io, or by submitting a ticket at help.novabridge.io. Business hours are 9 AM to 6 PM Monday to Friday in your local timezone.</w:t>
      </w:r>
    </w:p>
    <w:p>
      <w:r>
        <w:t xml:space="preserve"/>
      </w:r>
    </w:p>
    <w:p>
      <w:pPr>
        <w:pStyle w:val="Heading2"/>
      </w:pPr>
      <w:r>
        <w:rPr>
          <w:b/>
          <w:bCs/>
        </w:rPr>
        <w:t xml:space="preserve">Billing</w:t>
      </w:r>
    </w:p>
    <w:p>
      <w:r>
        <w:t xml:space="preserve">Q: What plans does NovaBridge offer?</w:t>
      </w:r>
    </w:p>
    <w:p>
      <w:r>
        <w:t xml:space="preserve">A: We offer three plans: Starter (USD 49/month), Professional (USD 149/month), and Enterprise (custom pricing). Annual billing provides a 20% discount.</w:t>
      </w:r>
    </w:p>
    <w:p>
      <w:r>
        <w:t xml:space="preserve"/>
      </w:r>
    </w:p>
    <w:p>
      <w:r>
        <w:t xml:space="preserve">Q: Can I get a refund?</w:t>
      </w:r>
    </w:p>
    <w:p>
      <w:r>
        <w:t xml:space="preserve">A: Refunds are available within 14 days of a new subscription or renewal for Starter and Professional plans. Enterprise contracts are subject to individual terms. Refunds are not provided for partial months.</w:t>
      </w:r>
    </w:p>
    <w:p>
      <w:r>
        <w:t xml:space="preserve"/>
      </w:r>
    </w:p>
    <w:p>
      <w:r>
        <w:t xml:space="preserve">Q: What payment methods are accepted?</w:t>
      </w:r>
    </w:p>
    <w:p>
      <w:r>
        <w:t xml:space="preserve">A: We accept all major credit cards (Visa, Mastercard, Amex), PayPal, and bank transfer for Enterprise customers. Cryptocurrency is not accepted.</w:t>
      </w:r>
    </w:p>
    <w:p>
      <w:r>
        <w:t xml:space="preserve"/>
      </w:r>
    </w:p>
    <w:p>
      <w:pPr>
        <w:pStyle w:val="Heading2"/>
      </w:pPr>
      <w:r>
        <w:rPr>
          <w:b/>
          <w:bCs/>
        </w:rPr>
        <w:t xml:space="preserve">Technical</w:t>
      </w:r>
    </w:p>
    <w:p>
      <w:r>
        <w:t xml:space="preserve">Q: What is the API rate limit?</w:t>
      </w:r>
    </w:p>
    <w:p>
      <w:r>
        <w:t xml:space="preserve">A: Rate limits are 1000 requests/minute on Starter, 5000 requests/minute on Professional, and custom limits on Enterprise. If you exceed your limit, you will receive a 429 error and should retry after 60 seconds.</w:t>
      </w:r>
    </w:p>
    <w:p>
      <w:r>
        <w:t xml:space="preserve"/>
      </w:r>
    </w:p>
    <w:p>
      <w:r>
        <w:t xml:space="preserve">Q: Does NovaBridge support webhooks?</w:t>
      </w:r>
    </w:p>
    <w:p>
      <w:r>
        <w:t xml:space="preserve">A: Yes. Webhooks are available on Professional and Enterprise plans. You can configure up to 10 webhook endpoints on Professional and unlimited on Enterprise. Webhook payloads are sent as JSON via HTTPS POST.</w:t>
      </w:r>
    </w:p>
    <w:p>
      <w:r>
        <w:t xml:space="preserve"/>
      </w:r>
    </w:p>
    <w:p>
      <w:r>
        <w:t xml:space="preserve">Q: Is my data encrypted?</w:t>
      </w:r>
    </w:p>
    <w:p>
      <w:r>
        <w:t xml:space="preserve">A: Yes. All data is encrypted in transit using TLS 1.2+ and at rest using AES-256 encryption. NovaBridge is SOC 2 Type II certified. Data is stored in AWS US-East-1 with daily backups retained for 30 days.</w:t>
      </w:r>
    </w:p>
    <w:p>
      <w:r>
        <w:t xml:space="preserve"/>
      </w:r>
    </w:p>
    <w:p>
      <w:pPr>
        <w:pStyle w:val="Heading2"/>
      </w:pPr>
      <w:r>
        <w:rPr>
          <w:b/>
          <w:bCs/>
        </w:rPr>
        <w:t xml:space="preserve">Account Management</w:t>
      </w:r>
    </w:p>
    <w:p>
      <w:r>
        <w:t xml:space="preserve">Q: How do I add team members?</w:t>
      </w:r>
    </w:p>
    <w:p>
      <w:r>
        <w:t xml:space="preserve">A: Go to Settings &gt; Team &gt; Invite Member. You can invite up to 5 users on Starter, 25 on Professional, and unlimited on Enterprise. Invited users will receive an email to set up their account.</w:t>
      </w:r>
    </w:p>
    <w:p>
      <w:r>
        <w:t xml:space="preserve"/>
      </w:r>
    </w:p>
    <w:p>
      <w:r>
        <w:t xml:space="preserve">Q: How do I cancel my subscription?</w:t>
      </w:r>
    </w:p>
    <w:p>
      <w:r>
        <w:t xml:space="preserve">A: You can cancel anytime from Settings &gt; Billing &gt; Cancel Subscription. Your access continues until the end of the current billing period. We do not offer prorated refunds for cancellations mid-period.</w:t>
      </w:r>
    </w:p>
    <w:p>
      <w:r>
        <w:t xml:space="preserve"/>
      </w:r>
    </w:p>
    <w:p>
      <w:r>
        <w:t xml:space="preserve">Q: Can I export my data before cancelling?</w:t>
      </w:r>
    </w:p>
    <w:p>
      <w:r>
        <w:t xml:space="preserve">A: Yes. You can export all your workflow configurations, historical run logs, and customer data from Settings &gt; Data Export. Exports are available in JSON and CSV formats. Allow up to 2 hours for large exports.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2026-05-31T04:25:35.502Z</dcterms:created>
  <dcterms:modified xsi:type="dcterms:W3CDTF">2026-05-31T04:25:35.503Z</dcterms:modified>
</cp:coreProperties>
</file>

<file path=docProps/custom.xml><?xml version="1.0" encoding="utf-8"?>
<Properties xmlns="http://schemas.openxmlformats.org/officeDocument/2006/custom-properties" xmlns:vt="http://schemas.openxmlformats.org/officeDocument/2006/docPropsVTypes"/>
</file>