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3069C" w14:textId="77777777" w:rsidR="00032282" w:rsidRPr="00032282" w:rsidRDefault="00032282" w:rsidP="00032282">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Introduction (Page 1)</w:t>
      </w:r>
    </w:p>
    <w:p w14:paraId="03E18ECE" w14:textId="77777777" w:rsidR="00032282" w:rsidRPr="00032282" w:rsidRDefault="00032282" w:rsidP="00032282">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Heart Disease (Pages 2–5)</w:t>
      </w:r>
    </w:p>
    <w:p w14:paraId="7F301953" w14:textId="77777777" w:rsidR="00032282" w:rsidRPr="00032282" w:rsidRDefault="00032282" w:rsidP="00032282">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Kidney Disease (Pages 6–9)</w:t>
      </w:r>
    </w:p>
    <w:p w14:paraId="73487099" w14:textId="77777777" w:rsidR="00032282" w:rsidRPr="00032282" w:rsidRDefault="00032282" w:rsidP="00032282">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Diabetes (Pages 10–13)</w:t>
      </w:r>
    </w:p>
    <w:p w14:paraId="3D1489B4" w14:textId="77777777" w:rsidR="00032282" w:rsidRPr="00032282" w:rsidRDefault="00032282" w:rsidP="00032282">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(Pages 14–16)</w:t>
      </w:r>
    </w:p>
    <w:p w14:paraId="57F39C6D" w14:textId="77777777" w:rsidR="00032282" w:rsidRPr="00032282" w:rsidRDefault="00032282" w:rsidP="00032282">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Liver Disease (Pages 17–19)</w:t>
      </w:r>
    </w:p>
    <w:p w14:paraId="37C4D9DD" w14:textId="77777777" w:rsidR="00032282" w:rsidRPr="00032282" w:rsidRDefault="00032282" w:rsidP="00032282">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Overall Prevention and Conclusion (Page 20)</w:t>
      </w:r>
    </w:p>
    <w:p w14:paraId="15E6CC14"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34DD8F44">
          <v:rect id="_x0000_i1025" style="width:0;height:.75pt" o:hralign="center" o:hrstd="t" o:hr="t" fillcolor="#a0a0a0" stroked="f"/>
        </w:pict>
      </w:r>
    </w:p>
    <w:p w14:paraId="522FD81B"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PAGE 1: INTRODUCTION</w:t>
      </w:r>
    </w:p>
    <w:p w14:paraId="10827088"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Modern lifestyles have given rise to a cluster of chronic and acute diseases that significantly impact quality of life and longevity. Among the most prevalent are heart disease, kidney disease, diabetes,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(often infectious but linked to hygiene and diet), and liver disease. Each of these conditions has distinct causes, yet they share common risk factors such as poor diet, physical inactivity, stress, and metabolic imbalances. Medical science offers effective treatments ranging from medications like statins, ACE inhibitors, and insulin to procedures such as dialysis. Simultaneously, ancient wisdom, particularly from the Vedic and Ayurvedic traditions, provides natural supportive remedies—herbs, dietary adjustments, and lifestyle practices—that can complement modern medicine. This document systematically presents all available information on these five diseases, covering causes, prevention, medical treatment, and Vedic/herbal approaches, followed by a holistic summary on maintaining overall health. The content is written in paragraph form for easy reading and comprehensive understanding.</w:t>
      </w:r>
    </w:p>
    <w:p w14:paraId="7723DA62"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32CDE438">
          <v:rect id="_x0000_i1026" style="width:0;height:.75pt" o:hralign="center" o:hrstd="t" o:hr="t" fillcolor="#a0a0a0" stroked="f"/>
        </w:pict>
      </w:r>
    </w:p>
    <w:p w14:paraId="357DDEA8"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 xml:space="preserve">PAGES 2–5: </w:t>
      </w:r>
      <w:proofErr w:type="gramStart"/>
      <w:r w:rsidRPr="00032282">
        <w:rPr>
          <w:rFonts w:ascii="Segoe UI" w:eastAsia="Times New Roman" w:hAnsi="Segoe UI" w:cs="Segoe UI"/>
          <w:b/>
          <w:bCs/>
          <w:color w:val="0F1115"/>
          <w:sz w:val="33"/>
          <w:szCs w:val="33"/>
          <w:lang w:eastAsia="en-IN" w:bidi="mr-IN"/>
        </w:rPr>
        <w:t>HEART DISEASE</w:t>
      </w:r>
      <w:proofErr w:type="gramEnd"/>
    </w:p>
    <w:p w14:paraId="38D3B304"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2: Causes and Risk Factors</w:t>
      </w:r>
    </w:p>
    <w:p w14:paraId="2C876E15"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Heart disease, also known as cardiovascular disease, is mainly caused by a combination of modifiable lifestyle factors and underlying health conditions. High cholesterol leads to the </w:t>
      </w:r>
      <w:proofErr w:type="spellStart"/>
      <w:r w:rsidRPr="00032282">
        <w:rPr>
          <w:rFonts w:ascii="Segoe UI" w:eastAsia="Times New Roman" w:hAnsi="Segoe UI" w:cs="Segoe UI"/>
          <w:color w:val="0F1115"/>
          <w:sz w:val="24"/>
          <w:szCs w:val="24"/>
          <w:lang w:eastAsia="en-IN" w:bidi="mr-IN"/>
        </w:rPr>
        <w:t>buildup</w:t>
      </w:r>
      <w:proofErr w:type="spellEnd"/>
      <w:r w:rsidRPr="00032282">
        <w:rPr>
          <w:rFonts w:ascii="Segoe UI" w:eastAsia="Times New Roman" w:hAnsi="Segoe UI" w:cs="Segoe UI"/>
          <w:color w:val="0F1115"/>
          <w:sz w:val="24"/>
          <w:szCs w:val="24"/>
          <w:lang w:eastAsia="en-IN" w:bidi="mr-IN"/>
        </w:rPr>
        <w:t xml:space="preserve"> of plaques in the coronary arteries, narrowing them and reducing blood flow to the heart muscle. High blood pressure, or hypertension, forces the heart to work harder, causing thickening of the heart muscle and damage to blood vessel walls. Smoking is another major contributor because the chemicals in tobacco damage the lining of arteries, promote clot formation, and reduce oxygen in </w:t>
      </w:r>
      <w:r w:rsidRPr="00032282">
        <w:rPr>
          <w:rFonts w:ascii="Segoe UI" w:eastAsia="Times New Roman" w:hAnsi="Segoe UI" w:cs="Segoe UI"/>
          <w:color w:val="0F1115"/>
          <w:sz w:val="24"/>
          <w:szCs w:val="24"/>
          <w:lang w:eastAsia="en-IN" w:bidi="mr-IN"/>
        </w:rPr>
        <w:lastRenderedPageBreak/>
        <w:t xml:space="preserve">the blood. Obesity, especially abdominal obesity, increases the workload on the heart and is closely linked to high cholesterol, high blood pressure, and diabetes. Diabetes itself is a powerful risk factor; high blood sugar damages blood vessels and the nerves that control the heart. An unhealthy lifestyle characterized by a poor diet—rich in saturated fats, trans fats, refined sugars, and processed foods—combined with a lack of physical exercise accelerates all the above mechanisms. In addition, chronic stress plays a major role by raising cortisol levels, increasing blood pressure, and encouraging unhealthy coping </w:t>
      </w:r>
      <w:proofErr w:type="spellStart"/>
      <w:r w:rsidRPr="00032282">
        <w:rPr>
          <w:rFonts w:ascii="Segoe UI" w:eastAsia="Times New Roman" w:hAnsi="Segoe UI" w:cs="Segoe UI"/>
          <w:color w:val="0F1115"/>
          <w:sz w:val="24"/>
          <w:szCs w:val="24"/>
          <w:lang w:eastAsia="en-IN" w:bidi="mr-IN"/>
        </w:rPr>
        <w:t>behaviors</w:t>
      </w:r>
      <w:proofErr w:type="spellEnd"/>
      <w:r w:rsidRPr="00032282">
        <w:rPr>
          <w:rFonts w:ascii="Segoe UI" w:eastAsia="Times New Roman" w:hAnsi="Segoe UI" w:cs="Segoe UI"/>
          <w:color w:val="0F1115"/>
          <w:sz w:val="24"/>
          <w:szCs w:val="24"/>
          <w:lang w:eastAsia="en-IN" w:bidi="mr-IN"/>
        </w:rPr>
        <w:t xml:space="preserve"> like overeating or smoking. Genetic predisposition can also contribute, but lifestyle remains the dominant factor. Understanding these causes is the first step toward prevention.</w:t>
      </w:r>
    </w:p>
    <w:p w14:paraId="6296D5FF"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3: Prevention Strategies</w:t>
      </w:r>
    </w:p>
    <w:p w14:paraId="4F9C8495"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To prevent heart disease, one should adopt a multifaceted approach </w:t>
      </w:r>
      <w:proofErr w:type="spellStart"/>
      <w:r w:rsidRPr="00032282">
        <w:rPr>
          <w:rFonts w:ascii="Segoe UI" w:eastAsia="Times New Roman" w:hAnsi="Segoe UI" w:cs="Segoe UI"/>
          <w:color w:val="0F1115"/>
          <w:sz w:val="24"/>
          <w:szCs w:val="24"/>
          <w:lang w:eastAsia="en-IN" w:bidi="mr-IN"/>
        </w:rPr>
        <w:t>centered</w:t>
      </w:r>
      <w:proofErr w:type="spellEnd"/>
      <w:r w:rsidRPr="00032282">
        <w:rPr>
          <w:rFonts w:ascii="Segoe UI" w:eastAsia="Times New Roman" w:hAnsi="Segoe UI" w:cs="Segoe UI"/>
          <w:color w:val="0F1115"/>
          <w:sz w:val="24"/>
          <w:szCs w:val="24"/>
          <w:lang w:eastAsia="en-IN" w:bidi="mr-IN"/>
        </w:rPr>
        <w:t xml:space="preserve"> on regular physical activity and dietary discipline. Exercising regularly—at least 150 minutes of moderate aerobic activity such as brisk walking, cycling, or swimming per week—strengthens the heart muscle, helps control weight, lowers blood pressure, and improves cholesterol profile by raising HDL (good cholesterol) and lowering LDL (bad cholesterol). Equally important is the avoidance of fried and processed foods, which are typically high in trans fats, sodium, and preservatives. Instead, one should focus on whole grains, fresh fruits and vegetables, lean proteins, and healthy fats like those from nuts, seeds, and olive oil. Reducing salt intake is critical because excess sodium raises blood pressure; the recommended limit is less than 2,300 mg per day, with an ideal target of 1,500 mg for those at risk. Stress management through yoga or meditation not only lowers blood pressure but also reduces inflammation and improves heart rate variability. Finally, regular monitoring of blood pressure and cholesterol levels allows for early detection and timely intervention. Individuals with a family history of heart disease should begin screening earlier, typically from age 20 onward. These preventive measures are highly effective and can reduce heart attack risk by over 80% when followed consistently.</w:t>
      </w:r>
    </w:p>
    <w:p w14:paraId="42972604"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4: Medical Treatment</w:t>
      </w:r>
    </w:p>
    <w:p w14:paraId="3B9A31C8"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When prevention is insufficient or the disease has already developed, medical treatment becomes necessary. Treatment usually includes medications such as statins, which lower LDL cholesterol by inhibiting an enzyme involved in cholesterol production in the liver. Beta-blockers reduce heart rate and decrease the force of contraction, thereby lowering blood pressure and reducing the heart’s oxygen demand; they are particularly useful after a heart attack. Blood thinners such as aspirin (low dose) prevent platelet aggregation and reduce the risk of clot formation, which can cause a heart attack or stroke. However, aspirin must be taken only under medical supervision because it increases the risk of gastrointestinal bleeding. Other </w:t>
      </w:r>
      <w:r w:rsidRPr="00032282">
        <w:rPr>
          <w:rFonts w:ascii="Segoe UI" w:eastAsia="Times New Roman" w:hAnsi="Segoe UI" w:cs="Segoe UI"/>
          <w:color w:val="0F1115"/>
          <w:sz w:val="24"/>
          <w:szCs w:val="24"/>
          <w:lang w:eastAsia="en-IN" w:bidi="mr-IN"/>
        </w:rPr>
        <w:lastRenderedPageBreak/>
        <w:t>medications include ACE inhibitors, angiotensin II receptor blockers (ARBs), calcium channel blockers, and diuretics, each targeting different aspects of heart failure or hypertension. In advanced cases, procedures like angioplasty with stent placement, coronary artery bypass grafting, or implantation of pacemakers or defibrillators may be required. It is essential that all medications are prescribed and monitored by a healthcare professional, as dosages and combinations need individualization based on the patient’s kidney function, liver function, and other medical conditions. Never self-medicate or discontinue heart medications without consulting a doctor, as sudden withdrawal can be dangerous.</w:t>
      </w:r>
    </w:p>
    <w:p w14:paraId="2574A6B1"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5: Vedic and Herbal Approaches</w:t>
      </w:r>
    </w:p>
    <w:p w14:paraId="072B9066"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From a Vedic perspective, heart health is viewed as a balance of the three doshas (</w:t>
      </w:r>
      <w:proofErr w:type="spellStart"/>
      <w:r w:rsidRPr="00032282">
        <w:rPr>
          <w:rFonts w:ascii="Segoe UI" w:eastAsia="Times New Roman" w:hAnsi="Segoe UI" w:cs="Segoe UI"/>
          <w:color w:val="0F1115"/>
          <w:sz w:val="24"/>
          <w:szCs w:val="24"/>
          <w:lang w:eastAsia="en-IN" w:bidi="mr-IN"/>
        </w:rPr>
        <w:t>Vata</w:t>
      </w:r>
      <w:proofErr w:type="spellEnd"/>
      <w:r w:rsidRPr="00032282">
        <w:rPr>
          <w:rFonts w:ascii="Segoe UI" w:eastAsia="Times New Roman" w:hAnsi="Segoe UI" w:cs="Segoe UI"/>
          <w:color w:val="0F1115"/>
          <w:sz w:val="24"/>
          <w:szCs w:val="24"/>
          <w:lang w:eastAsia="en-IN" w:bidi="mr-IN"/>
        </w:rPr>
        <w:t xml:space="preserve">, Pitta, </w:t>
      </w:r>
      <w:proofErr w:type="spellStart"/>
      <w:r w:rsidRPr="00032282">
        <w:rPr>
          <w:rFonts w:ascii="Segoe UI" w:eastAsia="Times New Roman" w:hAnsi="Segoe UI" w:cs="Segoe UI"/>
          <w:color w:val="0F1115"/>
          <w:sz w:val="24"/>
          <w:szCs w:val="24"/>
          <w:lang w:eastAsia="en-IN" w:bidi="mr-IN"/>
        </w:rPr>
        <w:t>Kapha</w:t>
      </w:r>
      <w:proofErr w:type="spellEnd"/>
      <w:r w:rsidRPr="00032282">
        <w:rPr>
          <w:rFonts w:ascii="Segoe UI" w:eastAsia="Times New Roman" w:hAnsi="Segoe UI" w:cs="Segoe UI"/>
          <w:color w:val="0F1115"/>
          <w:sz w:val="24"/>
          <w:szCs w:val="24"/>
          <w:lang w:eastAsia="en-IN" w:bidi="mr-IN"/>
        </w:rPr>
        <w:t>), with a focus on strengthening the cardiac tissue (</w:t>
      </w:r>
      <w:proofErr w:type="spellStart"/>
      <w:r w:rsidRPr="00032282">
        <w:rPr>
          <w:rFonts w:ascii="Segoe UI" w:eastAsia="Times New Roman" w:hAnsi="Segoe UI" w:cs="Segoe UI"/>
          <w:color w:val="0F1115"/>
          <w:sz w:val="24"/>
          <w:szCs w:val="24"/>
          <w:lang w:eastAsia="en-IN" w:bidi="mr-IN"/>
        </w:rPr>
        <w:t>hridaya</w:t>
      </w:r>
      <w:proofErr w:type="spellEnd"/>
      <w:r w:rsidRPr="00032282">
        <w:rPr>
          <w:rFonts w:ascii="Segoe UI" w:eastAsia="Times New Roman" w:hAnsi="Segoe UI" w:cs="Segoe UI"/>
          <w:color w:val="0F1115"/>
          <w:sz w:val="24"/>
          <w:szCs w:val="24"/>
          <w:lang w:eastAsia="en-IN" w:bidi="mr-IN"/>
        </w:rPr>
        <w:t>). Herbs like Arjuna bark (Terminalia arjuna) have been used for centuries to strengthen the heart muscle, improve coronary artery blood flow, and enhance the heart’s pumping efficiency. Clinical studies suggest that Arjuna may have similar effects to some modern anti-ischemic agents. Ashwagandha (</w:t>
      </w:r>
      <w:proofErr w:type="spellStart"/>
      <w:r w:rsidRPr="00032282">
        <w:rPr>
          <w:rFonts w:ascii="Segoe UI" w:eastAsia="Times New Roman" w:hAnsi="Segoe UI" w:cs="Segoe UI"/>
          <w:color w:val="0F1115"/>
          <w:sz w:val="24"/>
          <w:szCs w:val="24"/>
          <w:lang w:eastAsia="en-IN" w:bidi="mr-IN"/>
        </w:rPr>
        <w:t>Withania</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somnifera</w:t>
      </w:r>
      <w:proofErr w:type="spellEnd"/>
      <w:r w:rsidRPr="00032282">
        <w:rPr>
          <w:rFonts w:ascii="Segoe UI" w:eastAsia="Times New Roman" w:hAnsi="Segoe UI" w:cs="Segoe UI"/>
          <w:color w:val="0F1115"/>
          <w:sz w:val="24"/>
          <w:szCs w:val="24"/>
          <w:lang w:eastAsia="en-IN" w:bidi="mr-IN"/>
        </w:rPr>
        <w:t xml:space="preserve">) is another cornerstone herb; it reduces stress by lowering cortisol levels, thereby mitigating one of the major triggers of heart disease. Ashwagandha also exhibits anti-inflammatory and antioxidant properties. Garlic consumed with honey is a traditional remedy for cardiovascular support: garlic (Allium sativum) contains allicin, which helps lower blood pressure and cholesterol, while honey adds antioxidant polyphenols. </w:t>
      </w:r>
      <w:proofErr w:type="spellStart"/>
      <w:r w:rsidRPr="00032282">
        <w:rPr>
          <w:rFonts w:ascii="Segoe UI" w:eastAsia="Times New Roman" w:hAnsi="Segoe UI" w:cs="Segoe UI"/>
          <w:color w:val="0F1115"/>
          <w:sz w:val="24"/>
          <w:szCs w:val="24"/>
          <w:lang w:eastAsia="en-IN" w:bidi="mr-IN"/>
        </w:rPr>
        <w:t>Tulsi</w:t>
      </w:r>
      <w:proofErr w:type="spellEnd"/>
      <w:r w:rsidRPr="00032282">
        <w:rPr>
          <w:rFonts w:ascii="Segoe UI" w:eastAsia="Times New Roman" w:hAnsi="Segoe UI" w:cs="Segoe UI"/>
          <w:color w:val="0F1115"/>
          <w:sz w:val="24"/>
          <w:szCs w:val="24"/>
          <w:lang w:eastAsia="en-IN" w:bidi="mr-IN"/>
        </w:rPr>
        <w:t xml:space="preserve"> tea, made from holy basil (</w:t>
      </w:r>
      <w:proofErr w:type="spellStart"/>
      <w:r w:rsidRPr="00032282">
        <w:rPr>
          <w:rFonts w:ascii="Segoe UI" w:eastAsia="Times New Roman" w:hAnsi="Segoe UI" w:cs="Segoe UI"/>
          <w:color w:val="0F1115"/>
          <w:sz w:val="24"/>
          <w:szCs w:val="24"/>
          <w:lang w:eastAsia="en-IN" w:bidi="mr-IN"/>
        </w:rPr>
        <w:t>Ocimum</w:t>
      </w:r>
      <w:proofErr w:type="spellEnd"/>
      <w:r w:rsidRPr="00032282">
        <w:rPr>
          <w:rFonts w:ascii="Segoe UI" w:eastAsia="Times New Roman" w:hAnsi="Segoe UI" w:cs="Segoe UI"/>
          <w:color w:val="0F1115"/>
          <w:sz w:val="24"/>
          <w:szCs w:val="24"/>
          <w:lang w:eastAsia="en-IN" w:bidi="mr-IN"/>
        </w:rPr>
        <w:t xml:space="preserve"> sanctum), supports cardiovascular health by reducing stress, lowering blood glucose, and exerting a mild blood pressure-lowering effect. It is important to note that these Vedic remedies should complement—not replace—modern medical treatment. For example, a patient taking prescription blood thinners should consult a doctor before adding large amounts of garlic or Arjuna, as they may have additive anticoagulant effects. Nevertheless, when used wisely under guidance, these herbs can enhance overall heart health and reduce the need for high medication doses.</w:t>
      </w:r>
    </w:p>
    <w:p w14:paraId="2D4F4018"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1FB8FAE2">
          <v:rect id="_x0000_i1027" style="width:0;height:.75pt" o:hralign="center" o:hrstd="t" o:hr="t" fillcolor="#a0a0a0" stroked="f"/>
        </w:pict>
      </w:r>
    </w:p>
    <w:p w14:paraId="545AA48C"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 xml:space="preserve">PAGES 6–9: </w:t>
      </w:r>
      <w:proofErr w:type="gramStart"/>
      <w:r w:rsidRPr="00032282">
        <w:rPr>
          <w:rFonts w:ascii="Segoe UI" w:eastAsia="Times New Roman" w:hAnsi="Segoe UI" w:cs="Segoe UI"/>
          <w:b/>
          <w:bCs/>
          <w:color w:val="0F1115"/>
          <w:sz w:val="33"/>
          <w:szCs w:val="33"/>
          <w:lang w:eastAsia="en-IN" w:bidi="mr-IN"/>
        </w:rPr>
        <w:t>KIDNEY DISEASE</w:t>
      </w:r>
      <w:proofErr w:type="gramEnd"/>
    </w:p>
    <w:p w14:paraId="346761CE"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6: Causes and Common Triggers</w:t>
      </w:r>
    </w:p>
    <w:p w14:paraId="7D1FF898"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Kidney disease, particularly chronic kidney disease (CKD), commonly occurs due to several underlying factors. Diabetes is the leading cause: persistently high blood sugar damages the tiny blood vessels (glomeruli) in the kidneys that filter waste, </w:t>
      </w:r>
      <w:r w:rsidRPr="00032282">
        <w:rPr>
          <w:rFonts w:ascii="Segoe UI" w:eastAsia="Times New Roman" w:hAnsi="Segoe UI" w:cs="Segoe UI"/>
          <w:color w:val="0F1115"/>
          <w:sz w:val="24"/>
          <w:szCs w:val="24"/>
          <w:lang w:eastAsia="en-IN" w:bidi="mr-IN"/>
        </w:rPr>
        <w:lastRenderedPageBreak/>
        <w:t>leading to a condition called diabetic nephropathy. High blood pressure is the second most common cause; uncontrolled hypertension puts strain on the kidney’s filtering units, causing them to thicken and scar over time. Infections, such as recurrent urinary tract infections or pyelonephritis, can directly damage kidney tissue if not treated promptly. Dehydration, especially when chronic or severe, reduces blood flow to the kidneys and can precipitate acute kidney injury, which may become chronic if repeated. Excessive use of painkillers, particularly nonsteroidal anti-inflammatory drugs (NSAIDs) like ibuprofen, naproxen, and diclofenac, is a major preventable cause. These drugs reduce blood flow to the kidneys and can cause interstitial nephritis or papillary necrosis with long-term use. Other causes include autoimmune diseases (e.g., lupus), polycystic kidney disease (genetic), and obstruction from kidney stones or an enlarged prostate. Recognizing these causes allows individuals to take proactive steps to protect their kidneys before irreversible damage occurs.</w:t>
      </w:r>
    </w:p>
    <w:p w14:paraId="4E90DA7A"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7: Preventive Measures</w:t>
      </w:r>
    </w:p>
    <w:p w14:paraId="261A4C85"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Prevention of kidney disease revolves around lifestyle adjustments and regular health monitoring. Drinking sufficient water is the simplest and most effective measure: adequate hydration ensures that urine is dilute, reducing the risk of stone formation and helping the kidneys flush out toxins. The general recommendation is 8–10 glasses per day, but those with existing kidney disease may need individualized advice. Controlling blood sugar and blood pressure is paramount; for diabetics, maintaining HbA1c below 7% and blood pressure below 130/80 mmHg significantly reduces kidney risk. Limiting salt intake helps control blood pressure; the recommended limit is less than 5 grams of salt per day. Additionally, limiting protein intake—especially animal protein—can reduce the workload on the kidneys for those at risk, though a moderate protein intake is fine for healthy individuals. Avoiding unnecessary medications, particularly NSAIDs and certain antibiotics (e.g., gentamicin), protects kidney tissue. Over-the-counter painkillers should be used sparingly and only as directed. Other preventive steps include maintaining a healthy weight, exercising regularly, avoiding smoking, and limiting alcohol. Annual screening with a simple blood test (serum creatinine to estimate GFR) and a urine test (albumin-to-creatinine ratio) can detect early kidney damage, allowing interventions that can halt or slow progression.</w:t>
      </w:r>
    </w:p>
    <w:p w14:paraId="59F647C2"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8: Medical Treatment</w:t>
      </w:r>
    </w:p>
    <w:p w14:paraId="582BB537"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Medical treatment for kidney disease depends on the stage and underlying cause. Early-stage CKD is often managed with ACE inhibitors (e.g., lisinopril, enalapril) or angiotensin II receptor blockers (ARBs, e.g., losartan). These drugs lower blood pressure and, more importantly, reduce intraglomerular pressure and protein </w:t>
      </w:r>
      <w:r w:rsidRPr="00032282">
        <w:rPr>
          <w:rFonts w:ascii="Segoe UI" w:eastAsia="Times New Roman" w:hAnsi="Segoe UI" w:cs="Segoe UI"/>
          <w:color w:val="0F1115"/>
          <w:sz w:val="24"/>
          <w:szCs w:val="24"/>
          <w:lang w:eastAsia="en-IN" w:bidi="mr-IN"/>
        </w:rPr>
        <w:lastRenderedPageBreak/>
        <w:t>leakage, slowing the progression of kidney damage. Diuretics (e.g., furosemide, hydrochlorothiazide) help manage fluid overload, reducing swelling (</w:t>
      </w:r>
      <w:proofErr w:type="spellStart"/>
      <w:r w:rsidRPr="00032282">
        <w:rPr>
          <w:rFonts w:ascii="Segoe UI" w:eastAsia="Times New Roman" w:hAnsi="Segoe UI" w:cs="Segoe UI"/>
          <w:color w:val="0F1115"/>
          <w:sz w:val="24"/>
          <w:szCs w:val="24"/>
          <w:lang w:eastAsia="en-IN" w:bidi="mr-IN"/>
        </w:rPr>
        <w:t>edema</w:t>
      </w:r>
      <w:proofErr w:type="spellEnd"/>
      <w:r w:rsidRPr="00032282">
        <w:rPr>
          <w:rFonts w:ascii="Segoe UI" w:eastAsia="Times New Roman" w:hAnsi="Segoe UI" w:cs="Segoe UI"/>
          <w:color w:val="0F1115"/>
          <w:sz w:val="24"/>
          <w:szCs w:val="24"/>
          <w:lang w:eastAsia="en-IN" w:bidi="mr-IN"/>
        </w:rPr>
        <w:t xml:space="preserve">) and controlling blood pressure. In cases of </w:t>
      </w:r>
      <w:proofErr w:type="spellStart"/>
      <w:r w:rsidRPr="00032282">
        <w:rPr>
          <w:rFonts w:ascii="Segoe UI" w:eastAsia="Times New Roman" w:hAnsi="Segoe UI" w:cs="Segoe UI"/>
          <w:color w:val="0F1115"/>
          <w:sz w:val="24"/>
          <w:szCs w:val="24"/>
          <w:lang w:eastAsia="en-IN" w:bidi="mr-IN"/>
        </w:rPr>
        <w:t>anemia</w:t>
      </w:r>
      <w:proofErr w:type="spellEnd"/>
      <w:r w:rsidRPr="00032282">
        <w:rPr>
          <w:rFonts w:ascii="Segoe UI" w:eastAsia="Times New Roman" w:hAnsi="Segoe UI" w:cs="Segoe UI"/>
          <w:color w:val="0F1115"/>
          <w:sz w:val="24"/>
          <w:szCs w:val="24"/>
          <w:lang w:eastAsia="en-IN" w:bidi="mr-IN"/>
        </w:rPr>
        <w:t xml:space="preserve"> associated with CKD, erythropoiesis-stimulating agents (ESAs) may be given to boost red blood cell production. Phosphate binders and vitamin D supplements are used to manage mineral and bone disorders that arise as kidney function declines. For patients who progress to end-stage renal disease (ESRD), treatment options include dialysis (</w:t>
      </w:r>
      <w:proofErr w:type="spellStart"/>
      <w:r w:rsidRPr="00032282">
        <w:rPr>
          <w:rFonts w:ascii="Segoe UI" w:eastAsia="Times New Roman" w:hAnsi="Segoe UI" w:cs="Segoe UI"/>
          <w:color w:val="0F1115"/>
          <w:sz w:val="24"/>
          <w:szCs w:val="24"/>
          <w:lang w:eastAsia="en-IN" w:bidi="mr-IN"/>
        </w:rPr>
        <w:t>hemodialysis</w:t>
      </w:r>
      <w:proofErr w:type="spellEnd"/>
      <w:r w:rsidRPr="00032282">
        <w:rPr>
          <w:rFonts w:ascii="Segoe UI" w:eastAsia="Times New Roman" w:hAnsi="Segoe UI" w:cs="Segoe UI"/>
          <w:color w:val="0F1115"/>
          <w:sz w:val="24"/>
          <w:szCs w:val="24"/>
          <w:lang w:eastAsia="en-IN" w:bidi="mr-IN"/>
        </w:rPr>
        <w:t xml:space="preserve"> or peritoneal dialysis) or kidney transplantation. </w:t>
      </w:r>
      <w:proofErr w:type="spellStart"/>
      <w:r w:rsidRPr="00032282">
        <w:rPr>
          <w:rFonts w:ascii="Segoe UI" w:eastAsia="Times New Roman" w:hAnsi="Segoe UI" w:cs="Segoe UI"/>
          <w:color w:val="0F1115"/>
          <w:sz w:val="24"/>
          <w:szCs w:val="24"/>
          <w:lang w:eastAsia="en-IN" w:bidi="mr-IN"/>
        </w:rPr>
        <w:t>Hemodialysis</w:t>
      </w:r>
      <w:proofErr w:type="spellEnd"/>
      <w:r w:rsidRPr="00032282">
        <w:rPr>
          <w:rFonts w:ascii="Segoe UI" w:eastAsia="Times New Roman" w:hAnsi="Segoe UI" w:cs="Segoe UI"/>
          <w:color w:val="0F1115"/>
          <w:sz w:val="24"/>
          <w:szCs w:val="24"/>
          <w:lang w:eastAsia="en-IN" w:bidi="mr-IN"/>
        </w:rPr>
        <w:t xml:space="preserve"> typically requires three sessions per week, each lasting about four hours, to filter waste and excess fluid from the blood. Peritoneal dialysis uses the patient’s abdominal lining as a filter and can be performed at home. Kidney transplantation offers the best quality of life but requires lifelong immunosuppressive drugs to prevent rejection. All treatments must be overseen by a nephrologist, and patients should adhere strictly to dietary restrictions (sodium, potassium, phosphorus, and fluid limits) as prescribed.</w:t>
      </w:r>
    </w:p>
    <w:p w14:paraId="1FD3F3B9"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9: Herbal and Natural Support (Ayurveda)</w:t>
      </w:r>
    </w:p>
    <w:p w14:paraId="2139B389"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In Ayurveda, kidney function is associated with the </w:t>
      </w:r>
      <w:proofErr w:type="spellStart"/>
      <w:r w:rsidRPr="00032282">
        <w:rPr>
          <w:rFonts w:ascii="Segoe UI" w:eastAsia="Times New Roman" w:hAnsi="Segoe UI" w:cs="Segoe UI"/>
          <w:i/>
          <w:iCs/>
          <w:color w:val="0F1115"/>
          <w:sz w:val="24"/>
          <w:szCs w:val="24"/>
          <w:lang w:eastAsia="en-IN" w:bidi="mr-IN"/>
        </w:rPr>
        <w:t>Mutravaha</w:t>
      </w:r>
      <w:proofErr w:type="spellEnd"/>
      <w:r w:rsidRPr="00032282">
        <w:rPr>
          <w:rFonts w:ascii="Segoe UI" w:eastAsia="Times New Roman" w:hAnsi="Segoe UI" w:cs="Segoe UI"/>
          <w:i/>
          <w:iCs/>
          <w:color w:val="0F1115"/>
          <w:sz w:val="24"/>
          <w:szCs w:val="24"/>
          <w:lang w:eastAsia="en-IN" w:bidi="mr-IN"/>
        </w:rPr>
        <w:t xml:space="preserve"> </w:t>
      </w:r>
      <w:proofErr w:type="spellStart"/>
      <w:r w:rsidRPr="00032282">
        <w:rPr>
          <w:rFonts w:ascii="Segoe UI" w:eastAsia="Times New Roman" w:hAnsi="Segoe UI" w:cs="Segoe UI"/>
          <w:i/>
          <w:iCs/>
          <w:color w:val="0F1115"/>
          <w:sz w:val="24"/>
          <w:szCs w:val="24"/>
          <w:lang w:eastAsia="en-IN" w:bidi="mr-IN"/>
        </w:rPr>
        <w:t>Srotas</w:t>
      </w:r>
      <w:proofErr w:type="spellEnd"/>
      <w:r w:rsidRPr="00032282">
        <w:rPr>
          <w:rFonts w:ascii="Segoe UI" w:eastAsia="Times New Roman" w:hAnsi="Segoe UI" w:cs="Segoe UI"/>
          <w:color w:val="0F1115"/>
          <w:sz w:val="24"/>
          <w:szCs w:val="24"/>
          <w:lang w:eastAsia="en-IN" w:bidi="mr-IN"/>
        </w:rPr>
        <w:t xml:space="preserve"> (urinary channels), and several herbs are known to support renal health. </w:t>
      </w:r>
      <w:proofErr w:type="spellStart"/>
      <w:r w:rsidRPr="00032282">
        <w:rPr>
          <w:rFonts w:ascii="Segoe UI" w:eastAsia="Times New Roman" w:hAnsi="Segoe UI" w:cs="Segoe UI"/>
          <w:color w:val="0F1115"/>
          <w:sz w:val="24"/>
          <w:szCs w:val="24"/>
          <w:lang w:eastAsia="en-IN" w:bidi="mr-IN"/>
        </w:rPr>
        <w:t>Punarnava</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Boerhavia</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diffusa</w:t>
      </w:r>
      <w:proofErr w:type="spellEnd"/>
      <w:r w:rsidRPr="00032282">
        <w:rPr>
          <w:rFonts w:ascii="Segoe UI" w:eastAsia="Times New Roman" w:hAnsi="Segoe UI" w:cs="Segoe UI"/>
          <w:color w:val="0F1115"/>
          <w:sz w:val="24"/>
          <w:szCs w:val="24"/>
          <w:lang w:eastAsia="en-IN" w:bidi="mr-IN"/>
        </w:rPr>
        <w:t xml:space="preserve">) is a powerful diuretic and anti-inflammatory herb that helps reduce fluid retention and supports the repair of kidney tissue. It is often used in cases of nephrotic syndrome and mild to moderate CKD. </w:t>
      </w:r>
      <w:proofErr w:type="spellStart"/>
      <w:r w:rsidRPr="00032282">
        <w:rPr>
          <w:rFonts w:ascii="Segoe UI" w:eastAsia="Times New Roman" w:hAnsi="Segoe UI" w:cs="Segoe UI"/>
          <w:color w:val="0F1115"/>
          <w:sz w:val="24"/>
          <w:szCs w:val="24"/>
          <w:lang w:eastAsia="en-IN" w:bidi="mr-IN"/>
        </w:rPr>
        <w:t>Gokshura</w:t>
      </w:r>
      <w:proofErr w:type="spellEnd"/>
      <w:r w:rsidRPr="00032282">
        <w:rPr>
          <w:rFonts w:ascii="Segoe UI" w:eastAsia="Times New Roman" w:hAnsi="Segoe UI" w:cs="Segoe UI"/>
          <w:color w:val="0F1115"/>
          <w:sz w:val="24"/>
          <w:szCs w:val="24"/>
          <w:lang w:eastAsia="en-IN" w:bidi="mr-IN"/>
        </w:rPr>
        <w:t xml:space="preserve"> (Tribulus </w:t>
      </w:r>
      <w:proofErr w:type="spellStart"/>
      <w:r w:rsidRPr="00032282">
        <w:rPr>
          <w:rFonts w:ascii="Segoe UI" w:eastAsia="Times New Roman" w:hAnsi="Segoe UI" w:cs="Segoe UI"/>
          <w:color w:val="0F1115"/>
          <w:sz w:val="24"/>
          <w:szCs w:val="24"/>
          <w:lang w:eastAsia="en-IN" w:bidi="mr-IN"/>
        </w:rPr>
        <w:t>terrestris</w:t>
      </w:r>
      <w:proofErr w:type="spellEnd"/>
      <w:r w:rsidRPr="00032282">
        <w:rPr>
          <w:rFonts w:ascii="Segoe UI" w:eastAsia="Times New Roman" w:hAnsi="Segoe UI" w:cs="Segoe UI"/>
          <w:color w:val="0F1115"/>
          <w:sz w:val="24"/>
          <w:szCs w:val="24"/>
          <w:lang w:eastAsia="en-IN" w:bidi="mr-IN"/>
        </w:rPr>
        <w:t>) is another revered herb; it acts as a diuretic, helps maintain urinary flow, and has been shown to reduce proteinuria and protect against oxidative damage in the kidneys. Both herbs are typically taken as powders or decoctions under the guidance of an Ayurvedic practitioner. Natural fluids such as coconut water and barley water are excellent for maintaining hydration and detoxification. Coconut water is rich in potassium (but should be used cautiously in advanced CKD where potassium restriction is needed) and provides electrolytes without added sugar. Barley water, made by boiling barley grains in water, has a mild diuretic effect and helps flush the urinary tract. It also reduces inflammation. Other supportive measures include drinking coriander seed water (</w:t>
      </w:r>
      <w:proofErr w:type="spellStart"/>
      <w:r w:rsidRPr="00032282">
        <w:rPr>
          <w:rFonts w:ascii="Segoe UI" w:eastAsia="Times New Roman" w:hAnsi="Segoe UI" w:cs="Segoe UI"/>
          <w:color w:val="0F1115"/>
          <w:sz w:val="24"/>
          <w:szCs w:val="24"/>
          <w:lang w:eastAsia="en-IN" w:bidi="mr-IN"/>
        </w:rPr>
        <w:t>dhaniya</w:t>
      </w:r>
      <w:proofErr w:type="spellEnd"/>
      <w:r w:rsidRPr="00032282">
        <w:rPr>
          <w:rFonts w:ascii="Segoe UI" w:eastAsia="Times New Roman" w:hAnsi="Segoe UI" w:cs="Segoe UI"/>
          <w:color w:val="0F1115"/>
          <w:sz w:val="24"/>
          <w:szCs w:val="24"/>
          <w:lang w:eastAsia="en-IN" w:bidi="mr-IN"/>
        </w:rPr>
        <w:t xml:space="preserve"> water) and avoiding excessive intake of sour, salty, and pungent foods as per Ayurvedic principles. As with heart disease, these natural approaches are complementary. A person on dialysis or taking ACE inhibitors must inform their doctor before using </w:t>
      </w:r>
      <w:proofErr w:type="spellStart"/>
      <w:r w:rsidRPr="00032282">
        <w:rPr>
          <w:rFonts w:ascii="Segoe UI" w:eastAsia="Times New Roman" w:hAnsi="Segoe UI" w:cs="Segoe UI"/>
          <w:color w:val="0F1115"/>
          <w:sz w:val="24"/>
          <w:szCs w:val="24"/>
          <w:lang w:eastAsia="en-IN" w:bidi="mr-IN"/>
        </w:rPr>
        <w:t>Punarnava</w:t>
      </w:r>
      <w:proofErr w:type="spellEnd"/>
      <w:r w:rsidRPr="00032282">
        <w:rPr>
          <w:rFonts w:ascii="Segoe UI" w:eastAsia="Times New Roman" w:hAnsi="Segoe UI" w:cs="Segoe UI"/>
          <w:color w:val="0F1115"/>
          <w:sz w:val="24"/>
          <w:szCs w:val="24"/>
          <w:lang w:eastAsia="en-IN" w:bidi="mr-IN"/>
        </w:rPr>
        <w:t xml:space="preserve"> or </w:t>
      </w:r>
      <w:proofErr w:type="spellStart"/>
      <w:r w:rsidRPr="00032282">
        <w:rPr>
          <w:rFonts w:ascii="Segoe UI" w:eastAsia="Times New Roman" w:hAnsi="Segoe UI" w:cs="Segoe UI"/>
          <w:color w:val="0F1115"/>
          <w:sz w:val="24"/>
          <w:szCs w:val="24"/>
          <w:lang w:eastAsia="en-IN" w:bidi="mr-IN"/>
        </w:rPr>
        <w:t>Gokshura</w:t>
      </w:r>
      <w:proofErr w:type="spellEnd"/>
      <w:r w:rsidRPr="00032282">
        <w:rPr>
          <w:rFonts w:ascii="Segoe UI" w:eastAsia="Times New Roman" w:hAnsi="Segoe UI" w:cs="Segoe UI"/>
          <w:color w:val="0F1115"/>
          <w:sz w:val="24"/>
          <w:szCs w:val="24"/>
          <w:lang w:eastAsia="en-IN" w:bidi="mr-IN"/>
        </w:rPr>
        <w:t>, as they can alter fluid and electrolyte balance.</w:t>
      </w:r>
    </w:p>
    <w:p w14:paraId="3DA95281"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167D6EF8">
          <v:rect id="_x0000_i1028" style="width:0;height:.75pt" o:hralign="center" o:hrstd="t" o:hr="t" fillcolor="#a0a0a0" stroked="f"/>
        </w:pict>
      </w:r>
    </w:p>
    <w:p w14:paraId="23CF007F"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PAGES 10–13: DIABETES</w:t>
      </w:r>
    </w:p>
    <w:p w14:paraId="5752D59D"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lastRenderedPageBreak/>
        <w:t>Page 10: Causes and Risk Factors</w:t>
      </w:r>
    </w:p>
    <w:p w14:paraId="1FD9BAD5"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Diabetes mellitus, primarily type 2 diabetes (which constitutes about 90–95% of cases), is caused by a combination of insulin resistance and relative insulin deficiency. Insulin resistance occurs when muscle, fat, and liver cells fail to respond normally to insulin, forcing the pancreas to produce more insulin to keep blood glucose levels in check. Over time, the beta cells of the pancreas become exhausted and cannot keep up, leading to </w:t>
      </w:r>
      <w:proofErr w:type="spellStart"/>
      <w:r w:rsidRPr="00032282">
        <w:rPr>
          <w:rFonts w:ascii="Segoe UI" w:eastAsia="Times New Roman" w:hAnsi="Segoe UI" w:cs="Segoe UI"/>
          <w:color w:val="0F1115"/>
          <w:sz w:val="24"/>
          <w:szCs w:val="24"/>
          <w:lang w:eastAsia="en-IN" w:bidi="mr-IN"/>
        </w:rPr>
        <w:t>hyperglycemia</w:t>
      </w:r>
      <w:proofErr w:type="spellEnd"/>
      <w:r w:rsidRPr="00032282">
        <w:rPr>
          <w:rFonts w:ascii="Segoe UI" w:eastAsia="Times New Roman" w:hAnsi="Segoe UI" w:cs="Segoe UI"/>
          <w:color w:val="0F1115"/>
          <w:sz w:val="24"/>
          <w:szCs w:val="24"/>
          <w:lang w:eastAsia="en-IN" w:bidi="mr-IN"/>
        </w:rPr>
        <w:t>. Genetic factors play a significant role: having a parent or sibling with diabetes increases one’s risk substantially. Obesity, particularly abdominal obesity, is the strongest modifiable risk factor because excess fat tissue releases inflammatory cytokines that promote insulin resistance. A sedentary lifestyle compounds the problem by reducing muscle glucose uptake and promoting weight gain. High intake of sugar and refined carbohydrates—such as sugary drinks, white bread, pastries, and candy—causes rapid spikes in blood glucose, overworking the pancreas and worsening insulin resistance over time. Other risk factors include age (over 45 years), gestational diabetes history, polycystic ovary syndrome (PCOS), and certain ethnicities (South Asian, African American, Hispanic). Type 1 diabetes, though less common, is an autoimmune condition where the immune system attacks insulin-producing cells; it is not lifestyle-related but is mentioned for completeness. Understanding these causes helps target prevention strategies effectively.</w:t>
      </w:r>
    </w:p>
    <w:p w14:paraId="7EE14C33"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11: Prevention Strategies</w:t>
      </w:r>
    </w:p>
    <w:p w14:paraId="24354407"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Prevention of type 2 diabetes focuses on weight management, physical activity, and dietary modification. Maintaining a healthy weight is the single most effective preventive measure; even a 5–7% reduction in body weight (e.g., 10–14 pounds for a 200-pound person) can reduce diabetes risk by nearly 60% in high-risk individuals. Exercising regularly—at least 30 minutes of moderate-intensity activity such as brisk walking, jogging, cycling, or swimming on most days—improves insulin sensitivity and helps muscles take up glucose without needing as much insulin. Avoiding excessive sugar consumption is critical: one should limit sugary beverages (soda, fruit juice with added sugar, sweetened teas), candies, desserts, and processed snacks. Instead, choose whole foods like vegetables, legumes, whole grains (brown rice, quinoa, oats), and lean proteins. Monitoring blood glucose levels, even for non-diabetics at risk, can provide feedback on how different foods affect one’s body; a fasting glucose between 100–125 mg/dL indicates prediabetes, a reversible stage. Additional preventive steps include getting adequate sleep (7–8 hours), managing stress (as stress hormones raise blood sugar), and avoiding smoking. For those with prediabetes, the drug metformin may be prescribed as a preventive measure, but lifestyle changes are always the foundation. Regular screening starting at age 35 (or earlier if risk factors present) enables early intervention.</w:t>
      </w:r>
    </w:p>
    <w:p w14:paraId="2A7F91FE"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lastRenderedPageBreak/>
        <w:t>Page 12: Medical Treatment</w:t>
      </w:r>
    </w:p>
    <w:p w14:paraId="7B1081C1"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For those diagnosed with diabetes, medical treatment aims to keep blood glucose levels as close to normal as possible to prevent complications. Metformin is the first-line medication for type 2 diabetes; it works by reducing glucose production in the liver and improving insulin sensitivity. It is generally well-tolerated but may cause gastrointestinal side effects initially. When metformin alone is insufficient, other glucose-lowering medications are added. These include sulfonylureas (e.g., glipizide, glimepiride) that stimulate the pancreas to release more insulin; DPP-4 inhibitors (e.g., sitagliptin) that increase incretin levels; SGLT2 inhibitors (e.g., empagliflozin) that cause glucose to be excreted in urine; and GLP-1 receptor agonists (e.g., liraglutide, </w:t>
      </w:r>
      <w:proofErr w:type="spellStart"/>
      <w:r w:rsidRPr="00032282">
        <w:rPr>
          <w:rFonts w:ascii="Segoe UI" w:eastAsia="Times New Roman" w:hAnsi="Segoe UI" w:cs="Segoe UI"/>
          <w:color w:val="0F1115"/>
          <w:sz w:val="24"/>
          <w:szCs w:val="24"/>
          <w:lang w:eastAsia="en-IN" w:bidi="mr-IN"/>
        </w:rPr>
        <w:t>semaglutide</w:t>
      </w:r>
      <w:proofErr w:type="spellEnd"/>
      <w:r w:rsidRPr="00032282">
        <w:rPr>
          <w:rFonts w:ascii="Segoe UI" w:eastAsia="Times New Roman" w:hAnsi="Segoe UI" w:cs="Segoe UI"/>
          <w:color w:val="0F1115"/>
          <w:sz w:val="24"/>
          <w:szCs w:val="24"/>
          <w:lang w:eastAsia="en-IN" w:bidi="mr-IN"/>
        </w:rPr>
        <w:t>) that slow digestion and enhance insulin secretion. Insulin therapy becomes necessary for type 1 diabetes and for advanced type 2 diabetes where oral medications no longer suffice. Insulin can be rapid-acting, short-acting, intermediate-acting, or long-acting, and regimens are individualized. Beyond glucose control, treatment includes managing blood pressure (usually with ACE inhibitors or ARBs) and cholesterol (statins), as diabetes greatly increases cardiovascular risk. Regular monitoring of HbA1c (every 3–6 months) is essential; the target is generally below 7% for most adults, though individualized. Patients should also receive annual eye exams, foot exams, and kidney function tests to detect complications early.</w:t>
      </w:r>
    </w:p>
    <w:p w14:paraId="434ECA11"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13: Vedic Remedies for Diabetes</w:t>
      </w:r>
    </w:p>
    <w:p w14:paraId="40AAB8E1"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The Vedic (Ayurvedic) system refers to diabetes as </w:t>
      </w:r>
      <w:proofErr w:type="spellStart"/>
      <w:r w:rsidRPr="00032282">
        <w:rPr>
          <w:rFonts w:ascii="Segoe UI" w:eastAsia="Times New Roman" w:hAnsi="Segoe UI" w:cs="Segoe UI"/>
          <w:i/>
          <w:iCs/>
          <w:color w:val="0F1115"/>
          <w:sz w:val="24"/>
          <w:szCs w:val="24"/>
          <w:lang w:eastAsia="en-IN" w:bidi="mr-IN"/>
        </w:rPr>
        <w:t>Madhumeha</w:t>
      </w:r>
      <w:proofErr w:type="spellEnd"/>
      <w:r w:rsidRPr="00032282">
        <w:rPr>
          <w:rFonts w:ascii="Segoe UI" w:eastAsia="Times New Roman" w:hAnsi="Segoe UI" w:cs="Segoe UI"/>
          <w:color w:val="0F1115"/>
          <w:sz w:val="24"/>
          <w:szCs w:val="24"/>
          <w:lang w:eastAsia="en-IN" w:bidi="mr-IN"/>
        </w:rPr>
        <w:t> (“honey-like urine”) and offers several natural remedies that have been validated by modern research. Consuming fenugreek seeds (</w:t>
      </w:r>
      <w:proofErr w:type="spellStart"/>
      <w:r w:rsidRPr="00032282">
        <w:rPr>
          <w:rFonts w:ascii="Segoe UI" w:eastAsia="Times New Roman" w:hAnsi="Segoe UI" w:cs="Segoe UI"/>
          <w:color w:val="0F1115"/>
          <w:sz w:val="24"/>
          <w:szCs w:val="24"/>
          <w:lang w:eastAsia="en-IN" w:bidi="mr-IN"/>
        </w:rPr>
        <w:t>methi</w:t>
      </w:r>
      <w:proofErr w:type="spellEnd"/>
      <w:r w:rsidRPr="00032282">
        <w:rPr>
          <w:rFonts w:ascii="Segoe UI" w:eastAsia="Times New Roman" w:hAnsi="Segoe UI" w:cs="Segoe UI"/>
          <w:color w:val="0F1115"/>
          <w:sz w:val="24"/>
          <w:szCs w:val="24"/>
          <w:lang w:eastAsia="en-IN" w:bidi="mr-IN"/>
        </w:rPr>
        <w:t xml:space="preserve">) is highly effective: soaking one to two tablespoons of fenugreek seeds in water overnight and eating them in the morning helps lower post-meal blood sugar due to the seeds’ high soluble </w:t>
      </w:r>
      <w:proofErr w:type="spellStart"/>
      <w:r w:rsidRPr="00032282">
        <w:rPr>
          <w:rFonts w:ascii="Segoe UI" w:eastAsia="Times New Roman" w:hAnsi="Segoe UI" w:cs="Segoe UI"/>
          <w:color w:val="0F1115"/>
          <w:sz w:val="24"/>
          <w:szCs w:val="24"/>
          <w:lang w:eastAsia="en-IN" w:bidi="mr-IN"/>
        </w:rPr>
        <w:t>fiber</w:t>
      </w:r>
      <w:proofErr w:type="spellEnd"/>
      <w:r w:rsidRPr="00032282">
        <w:rPr>
          <w:rFonts w:ascii="Segoe UI" w:eastAsia="Times New Roman" w:hAnsi="Segoe UI" w:cs="Segoe UI"/>
          <w:color w:val="0F1115"/>
          <w:sz w:val="24"/>
          <w:szCs w:val="24"/>
          <w:lang w:eastAsia="en-IN" w:bidi="mr-IN"/>
        </w:rPr>
        <w:t xml:space="preserve"> content and compounds that slow carbohydrate absorption. Bitter gourd (karela) juice is another potent remedy; it contains </w:t>
      </w:r>
      <w:proofErr w:type="spellStart"/>
      <w:r w:rsidRPr="00032282">
        <w:rPr>
          <w:rFonts w:ascii="Segoe UI" w:eastAsia="Times New Roman" w:hAnsi="Segoe UI" w:cs="Segoe UI"/>
          <w:color w:val="0F1115"/>
          <w:sz w:val="24"/>
          <w:szCs w:val="24"/>
          <w:lang w:eastAsia="en-IN" w:bidi="mr-IN"/>
        </w:rPr>
        <w:t>charantin</w:t>
      </w:r>
      <w:proofErr w:type="spellEnd"/>
      <w:r w:rsidRPr="00032282">
        <w:rPr>
          <w:rFonts w:ascii="Segoe UI" w:eastAsia="Times New Roman" w:hAnsi="Segoe UI" w:cs="Segoe UI"/>
          <w:color w:val="0F1115"/>
          <w:sz w:val="24"/>
          <w:szCs w:val="24"/>
          <w:lang w:eastAsia="en-IN" w:bidi="mr-IN"/>
        </w:rPr>
        <w:t xml:space="preserve">, polypeptide-p, and other insulin-like compounds that reduce blood glucose. Drinking half a cup of fresh karela juice on an empty stomach (or mixing with a little water) can significantly lower sugar levels, though it is very bitter. Jamun seed powder (from the Indian blackberry, </w:t>
      </w:r>
      <w:proofErr w:type="spellStart"/>
      <w:r w:rsidRPr="00032282">
        <w:rPr>
          <w:rFonts w:ascii="Segoe UI" w:eastAsia="Times New Roman" w:hAnsi="Segoe UI" w:cs="Segoe UI"/>
          <w:color w:val="0F1115"/>
          <w:sz w:val="24"/>
          <w:szCs w:val="24"/>
          <w:lang w:eastAsia="en-IN" w:bidi="mr-IN"/>
        </w:rPr>
        <w:t>Syzygium</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cumini</w:t>
      </w:r>
      <w:proofErr w:type="spellEnd"/>
      <w:r w:rsidRPr="00032282">
        <w:rPr>
          <w:rFonts w:ascii="Segoe UI" w:eastAsia="Times New Roman" w:hAnsi="Segoe UI" w:cs="Segoe UI"/>
          <w:color w:val="0F1115"/>
          <w:sz w:val="24"/>
          <w:szCs w:val="24"/>
          <w:lang w:eastAsia="en-IN" w:bidi="mr-IN"/>
        </w:rPr>
        <w:t xml:space="preserve">) has been used for centuries; the seeds contain </w:t>
      </w:r>
      <w:proofErr w:type="spellStart"/>
      <w:r w:rsidRPr="00032282">
        <w:rPr>
          <w:rFonts w:ascii="Segoe UI" w:eastAsia="Times New Roman" w:hAnsi="Segoe UI" w:cs="Segoe UI"/>
          <w:color w:val="0F1115"/>
          <w:sz w:val="24"/>
          <w:szCs w:val="24"/>
          <w:lang w:eastAsia="en-IN" w:bidi="mr-IN"/>
        </w:rPr>
        <w:t>jamboline</w:t>
      </w:r>
      <w:proofErr w:type="spellEnd"/>
      <w:r w:rsidRPr="00032282">
        <w:rPr>
          <w:rFonts w:ascii="Segoe UI" w:eastAsia="Times New Roman" w:hAnsi="Segoe UI" w:cs="Segoe UI"/>
          <w:color w:val="0F1115"/>
          <w:sz w:val="24"/>
          <w:szCs w:val="24"/>
          <w:lang w:eastAsia="en-IN" w:bidi="mr-IN"/>
        </w:rPr>
        <w:t xml:space="preserve"> and </w:t>
      </w:r>
      <w:proofErr w:type="spellStart"/>
      <w:r w:rsidRPr="00032282">
        <w:rPr>
          <w:rFonts w:ascii="Segoe UI" w:eastAsia="Times New Roman" w:hAnsi="Segoe UI" w:cs="Segoe UI"/>
          <w:color w:val="0F1115"/>
          <w:sz w:val="24"/>
          <w:szCs w:val="24"/>
          <w:lang w:eastAsia="en-IN" w:bidi="mr-IN"/>
        </w:rPr>
        <w:t>jambosine</w:t>
      </w:r>
      <w:proofErr w:type="spellEnd"/>
      <w:r w:rsidRPr="00032282">
        <w:rPr>
          <w:rFonts w:ascii="Segoe UI" w:eastAsia="Times New Roman" w:hAnsi="Segoe UI" w:cs="Segoe UI"/>
          <w:color w:val="0F1115"/>
          <w:sz w:val="24"/>
          <w:szCs w:val="24"/>
          <w:lang w:eastAsia="en-IN" w:bidi="mr-IN"/>
        </w:rPr>
        <w:t>, which delay the release of sugar into the bloodstream. One can dry jamun seeds, grind them into a powder, and take one teaspoon twice daily with water. Neem leaves (</w:t>
      </w:r>
      <w:proofErr w:type="spellStart"/>
      <w:r w:rsidRPr="00032282">
        <w:rPr>
          <w:rFonts w:ascii="Segoe UI" w:eastAsia="Times New Roman" w:hAnsi="Segoe UI" w:cs="Segoe UI"/>
          <w:color w:val="0F1115"/>
          <w:sz w:val="24"/>
          <w:szCs w:val="24"/>
          <w:lang w:eastAsia="en-IN" w:bidi="mr-IN"/>
        </w:rPr>
        <w:t>Azadirachta</w:t>
      </w:r>
      <w:proofErr w:type="spellEnd"/>
      <w:r w:rsidRPr="00032282">
        <w:rPr>
          <w:rFonts w:ascii="Segoe UI" w:eastAsia="Times New Roman" w:hAnsi="Segoe UI" w:cs="Segoe UI"/>
          <w:color w:val="0F1115"/>
          <w:sz w:val="24"/>
          <w:szCs w:val="24"/>
          <w:lang w:eastAsia="en-IN" w:bidi="mr-IN"/>
        </w:rPr>
        <w:t xml:space="preserve"> indica) help control blood sugar by improving insulin sensitivity and reducing inflammation; chewing fresh neem leaves or taking neem leaf capsules can be beneficial. Other Vedic remedies include taking a tablespoon of amla (Indian gooseberry) powder, drinking cinnamon tea, and using turmeric in meals. It is crucial to understand that these remedies can lower blood sugar significantly and may interact with prescribed medications like metformin or insulin. Therefore, blood </w:t>
      </w:r>
      <w:r w:rsidRPr="00032282">
        <w:rPr>
          <w:rFonts w:ascii="Segoe UI" w:eastAsia="Times New Roman" w:hAnsi="Segoe UI" w:cs="Segoe UI"/>
          <w:color w:val="0F1115"/>
          <w:sz w:val="24"/>
          <w:szCs w:val="24"/>
          <w:lang w:eastAsia="en-IN" w:bidi="mr-IN"/>
        </w:rPr>
        <w:lastRenderedPageBreak/>
        <w:t xml:space="preserve">glucose should be monitored closely, and a healthcare professional should be consulted before starting any herbal regimen to avoid </w:t>
      </w:r>
      <w:proofErr w:type="spellStart"/>
      <w:r w:rsidRPr="00032282">
        <w:rPr>
          <w:rFonts w:ascii="Segoe UI" w:eastAsia="Times New Roman" w:hAnsi="Segoe UI" w:cs="Segoe UI"/>
          <w:color w:val="0F1115"/>
          <w:sz w:val="24"/>
          <w:szCs w:val="24"/>
          <w:lang w:eastAsia="en-IN" w:bidi="mr-IN"/>
        </w:rPr>
        <w:t>hypoglycemia</w:t>
      </w:r>
      <w:proofErr w:type="spellEnd"/>
      <w:r w:rsidRPr="00032282">
        <w:rPr>
          <w:rFonts w:ascii="Segoe UI" w:eastAsia="Times New Roman" w:hAnsi="Segoe UI" w:cs="Segoe UI"/>
          <w:color w:val="0F1115"/>
          <w:sz w:val="24"/>
          <w:szCs w:val="24"/>
          <w:lang w:eastAsia="en-IN" w:bidi="mr-IN"/>
        </w:rPr>
        <w:t xml:space="preserve"> (dangerously low blood sugar).</w:t>
      </w:r>
    </w:p>
    <w:p w14:paraId="70836D3F"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6516E2C7">
          <v:rect id="_x0000_i1029" style="width:0;height:.75pt" o:hralign="center" o:hrstd="t" o:hr="t" fillcolor="#a0a0a0" stroked="f"/>
        </w:pict>
      </w:r>
    </w:p>
    <w:p w14:paraId="7D02FE19"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PAGES 14–16: DIARRHEA</w:t>
      </w:r>
    </w:p>
    <w:p w14:paraId="76DAFACB"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14: Causes and Transmission</w:t>
      </w:r>
    </w:p>
    <w:p w14:paraId="49D4255F"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is defined as the passage of three or more loose or liquid stools per day. It is typically caused by contaminated food or water, which may contain pathogenic bacteria (e.g., </w:t>
      </w:r>
      <w:r w:rsidRPr="00032282">
        <w:rPr>
          <w:rFonts w:ascii="Segoe UI" w:eastAsia="Times New Roman" w:hAnsi="Segoe UI" w:cs="Segoe UI"/>
          <w:i/>
          <w:iCs/>
          <w:color w:val="0F1115"/>
          <w:sz w:val="24"/>
          <w:szCs w:val="24"/>
          <w:lang w:eastAsia="en-IN" w:bidi="mr-IN"/>
        </w:rPr>
        <w:t>E. coli</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i/>
          <w:iCs/>
          <w:color w:val="0F1115"/>
          <w:sz w:val="24"/>
          <w:szCs w:val="24"/>
          <w:lang w:eastAsia="en-IN" w:bidi="mr-IN"/>
        </w:rPr>
        <w:t>Salmonella</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i/>
          <w:iCs/>
          <w:color w:val="0F1115"/>
          <w:sz w:val="24"/>
          <w:szCs w:val="24"/>
          <w:lang w:eastAsia="en-IN" w:bidi="mr-IN"/>
        </w:rPr>
        <w:t>Shigella</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i/>
          <w:iCs/>
          <w:color w:val="0F1115"/>
          <w:sz w:val="24"/>
          <w:szCs w:val="24"/>
          <w:lang w:eastAsia="en-IN" w:bidi="mr-IN"/>
        </w:rPr>
        <w:t>Campylobacter</w:t>
      </w:r>
      <w:r w:rsidRPr="00032282">
        <w:rPr>
          <w:rFonts w:ascii="Segoe UI" w:eastAsia="Times New Roman" w:hAnsi="Segoe UI" w:cs="Segoe UI"/>
          <w:color w:val="0F1115"/>
          <w:sz w:val="24"/>
          <w:szCs w:val="24"/>
          <w:lang w:eastAsia="en-IN" w:bidi="mr-IN"/>
        </w:rPr>
        <w:t>), viruses (e.g., rotavirus, norovirus, adenovirus), or parasites (e.g., </w:t>
      </w:r>
      <w:r w:rsidRPr="00032282">
        <w:rPr>
          <w:rFonts w:ascii="Segoe UI" w:eastAsia="Times New Roman" w:hAnsi="Segoe UI" w:cs="Segoe UI"/>
          <w:i/>
          <w:iCs/>
          <w:color w:val="0F1115"/>
          <w:sz w:val="24"/>
          <w:szCs w:val="24"/>
          <w:lang w:eastAsia="en-IN" w:bidi="mr-IN"/>
        </w:rPr>
        <w:t>Giardia</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i/>
          <w:iCs/>
          <w:color w:val="0F1115"/>
          <w:sz w:val="24"/>
          <w:szCs w:val="24"/>
          <w:lang w:eastAsia="en-IN" w:bidi="mr-IN"/>
        </w:rPr>
        <w:t>Entamoeba histolytica</w:t>
      </w:r>
      <w:r w:rsidRPr="00032282">
        <w:rPr>
          <w:rFonts w:ascii="Segoe UI" w:eastAsia="Times New Roman" w:hAnsi="Segoe UI" w:cs="Segoe UI"/>
          <w:color w:val="0F1115"/>
          <w:sz w:val="24"/>
          <w:szCs w:val="24"/>
          <w:lang w:eastAsia="en-IN" w:bidi="mr-IN"/>
        </w:rPr>
        <w:t>). Bacterial and viral infections are the most common worldwide. Food poisoning occurs when toxins produced by bacteria (such as </w:t>
      </w:r>
      <w:r w:rsidRPr="00032282">
        <w:rPr>
          <w:rFonts w:ascii="Segoe UI" w:eastAsia="Times New Roman" w:hAnsi="Segoe UI" w:cs="Segoe UI"/>
          <w:i/>
          <w:iCs/>
          <w:color w:val="0F1115"/>
          <w:sz w:val="24"/>
          <w:szCs w:val="24"/>
          <w:lang w:eastAsia="en-IN" w:bidi="mr-IN"/>
        </w:rPr>
        <w:t>Staphylococcus aureus</w:t>
      </w:r>
      <w:r w:rsidRPr="00032282">
        <w:rPr>
          <w:rFonts w:ascii="Segoe UI" w:eastAsia="Times New Roman" w:hAnsi="Segoe UI" w:cs="Segoe UI"/>
          <w:color w:val="0F1115"/>
          <w:sz w:val="24"/>
          <w:szCs w:val="24"/>
          <w:lang w:eastAsia="en-IN" w:bidi="mr-IN"/>
        </w:rPr>
        <w:t> or </w:t>
      </w:r>
      <w:r w:rsidRPr="00032282">
        <w:rPr>
          <w:rFonts w:ascii="Segoe UI" w:eastAsia="Times New Roman" w:hAnsi="Segoe UI" w:cs="Segoe UI"/>
          <w:i/>
          <w:iCs/>
          <w:color w:val="0F1115"/>
          <w:sz w:val="24"/>
          <w:szCs w:val="24"/>
          <w:lang w:eastAsia="en-IN" w:bidi="mr-IN"/>
        </w:rPr>
        <w:t>Bacillus cereus</w:t>
      </w:r>
      <w:r w:rsidRPr="00032282">
        <w:rPr>
          <w:rFonts w:ascii="Segoe UI" w:eastAsia="Times New Roman" w:hAnsi="Segoe UI" w:cs="Segoe UI"/>
          <w:color w:val="0F1115"/>
          <w:sz w:val="24"/>
          <w:szCs w:val="24"/>
          <w:lang w:eastAsia="en-IN" w:bidi="mr-IN"/>
        </w:rPr>
        <w:t xml:space="preserve">) are ingested; symptoms often appear within hours. Poor hygiene—such as not washing hands after using the toilet, before eating, or after handling raw meat—facilitates the </w:t>
      </w:r>
      <w:proofErr w:type="spellStart"/>
      <w:r w:rsidRPr="00032282">
        <w:rPr>
          <w:rFonts w:ascii="Segoe UI" w:eastAsia="Times New Roman" w:hAnsi="Segoe UI" w:cs="Segoe UI"/>
          <w:color w:val="0F1115"/>
          <w:sz w:val="24"/>
          <w:szCs w:val="24"/>
          <w:lang w:eastAsia="en-IN" w:bidi="mr-IN"/>
        </w:rPr>
        <w:t>fecal</w:t>
      </w:r>
      <w:proofErr w:type="spellEnd"/>
      <w:r w:rsidRPr="00032282">
        <w:rPr>
          <w:rFonts w:ascii="Segoe UI" w:eastAsia="Times New Roman" w:hAnsi="Segoe UI" w:cs="Segoe UI"/>
          <w:color w:val="0F1115"/>
          <w:sz w:val="24"/>
          <w:szCs w:val="24"/>
          <w:lang w:eastAsia="en-IN" w:bidi="mr-IN"/>
        </w:rPr>
        <w:t xml:space="preserve">-oral route of transmission. In developing countries, unsafe drinking water and lack of sanitation are major contributors. Other causes include food intolerances (e.g., lactose intolerance, gluten sensitivity), certain medications (especially antibiotics that disrupt gut flora), and underlying digestive disorders like irritable bowel syndrome (IBS) or inflammatory bowel disease (IBD).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can be acute (lasting less than 14 days) or chronic (more than 4 weeks). The primary danger of acute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is dehydration, especially in children, the elderly, and those with weakened immune systems. Understanding the infectious and non-infectious causes helps guide appropriate prevention and treatment.</w:t>
      </w:r>
    </w:p>
    <w:p w14:paraId="6AAA8F71"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15: Prevention and Medical Treatment</w:t>
      </w:r>
    </w:p>
    <w:p w14:paraId="2C4DCB67"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Prevention of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centers</w:t>
      </w:r>
      <w:proofErr w:type="spellEnd"/>
      <w:r w:rsidRPr="00032282">
        <w:rPr>
          <w:rFonts w:ascii="Segoe UI" w:eastAsia="Times New Roman" w:hAnsi="Segoe UI" w:cs="Segoe UI"/>
          <w:color w:val="0F1115"/>
          <w:sz w:val="24"/>
          <w:szCs w:val="24"/>
          <w:lang w:eastAsia="en-IN" w:bidi="mr-IN"/>
        </w:rPr>
        <w:t xml:space="preserve"> on hygiene, clean water, and food safety. Maintaining proper hygiene means washing hands thoroughly with soap and water after using the toilet, changing diapers, and before handling food. Drinking clean water—either boiled, filtered, or commercially bottled—is essential in areas with questionable water quality. Avoiding unsafe food includes not eating raw or undercooked meat, seafood, or eggs; avoiding street food in unsanitary conditions; and washing fruits and vegetables thoroughly before consumption. The main treatment for acute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focuses on rehydration to replace lost fluids and electrolytes. Oral Rehydration Solution (ORS) is the gold standard; it is a mixture of clean water, salt, and sugar (or commercially available sachets) that is absorbed even when the intestine is inflamed. In addition, zinc supplements have been shown to reduce the </w:t>
      </w:r>
      <w:r w:rsidRPr="00032282">
        <w:rPr>
          <w:rFonts w:ascii="Segoe UI" w:eastAsia="Times New Roman" w:hAnsi="Segoe UI" w:cs="Segoe UI"/>
          <w:color w:val="0F1115"/>
          <w:sz w:val="24"/>
          <w:szCs w:val="24"/>
          <w:lang w:eastAsia="en-IN" w:bidi="mr-IN"/>
        </w:rPr>
        <w:lastRenderedPageBreak/>
        <w:t xml:space="preserve">duration and severity of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in children, and they are recommended by the WHO. Antibiotics are used only in bacterial cases (e.g., dysentery with blood, confirmed </w:t>
      </w:r>
      <w:r w:rsidRPr="00032282">
        <w:rPr>
          <w:rFonts w:ascii="Segoe UI" w:eastAsia="Times New Roman" w:hAnsi="Segoe UI" w:cs="Segoe UI"/>
          <w:i/>
          <w:iCs/>
          <w:color w:val="0F1115"/>
          <w:sz w:val="24"/>
          <w:szCs w:val="24"/>
          <w:lang w:eastAsia="en-IN" w:bidi="mr-IN"/>
        </w:rPr>
        <w:t>Shigella</w:t>
      </w:r>
      <w:r w:rsidRPr="00032282">
        <w:rPr>
          <w:rFonts w:ascii="Segoe UI" w:eastAsia="Times New Roman" w:hAnsi="Segoe UI" w:cs="Segoe UI"/>
          <w:color w:val="0F1115"/>
          <w:sz w:val="24"/>
          <w:szCs w:val="24"/>
          <w:lang w:eastAsia="en-IN" w:bidi="mr-IN"/>
        </w:rPr>
        <w:t xml:space="preserve"> or cholera); they are not effective against viral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and can worsen the condition by killing beneficial gut bacteria. Antimotility agents like loperamide (Imodium) may be used in adults without fever or bloody stool, but they should be avoided in cases of possible bacterial infection because they can trap pathogens in the gut. For severe dehydration, intravenous fluids in a hospital setting may be necessary. Preventive vaccination (e.g., rotavirus vaccine for infants) is highly effective in reducing severe diarrheal disease.</w:t>
      </w:r>
    </w:p>
    <w:p w14:paraId="3F80F0BB"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16: Traditional and Herbal Approaches</w:t>
      </w:r>
    </w:p>
    <w:p w14:paraId="50A00642"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From a traditional perspective,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is managed with easily digestible foods and natural remedies that soothe the gut and combat pathogens. Buttermilk with black salt is a classic remedy: buttermilk (</w:t>
      </w:r>
      <w:proofErr w:type="spellStart"/>
      <w:r w:rsidRPr="00032282">
        <w:rPr>
          <w:rFonts w:ascii="Segoe UI" w:eastAsia="Times New Roman" w:hAnsi="Segoe UI" w:cs="Segoe UI"/>
          <w:color w:val="0F1115"/>
          <w:sz w:val="24"/>
          <w:szCs w:val="24"/>
          <w:lang w:eastAsia="en-IN" w:bidi="mr-IN"/>
        </w:rPr>
        <w:t>chaas</w:t>
      </w:r>
      <w:proofErr w:type="spellEnd"/>
      <w:r w:rsidRPr="00032282">
        <w:rPr>
          <w:rFonts w:ascii="Segoe UI" w:eastAsia="Times New Roman" w:hAnsi="Segoe UI" w:cs="Segoe UI"/>
          <w:color w:val="0F1115"/>
          <w:sz w:val="24"/>
          <w:szCs w:val="24"/>
          <w:lang w:eastAsia="en-IN" w:bidi="mr-IN"/>
        </w:rPr>
        <w:t xml:space="preserve">) provides probiotics that help restore healthy gut flora, while black salt (or regular salt) replaces lost electrolytes. A glass of fresh buttermilk, optionally with a pinch of roasted cumin powder, can be taken two to three times daily. Pomegranate peel powder is another effective remedy; the peel contains tannins, polyphenols, and alkaloids that have astringent and antimicrobial properties. Drying pomegranate peels, grinding them into a fine powder, and taking one teaspoon with water or honey can help reduce stool frequency and kill gut pathogens. The BRAT diet (Banana, Rice, Applesauce, Toast) is widely recommended, with a specific mention of banana with rice. Bananas are rich in potassium, which is lost in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and they also contain pectin that helps firm up stools. White rice is easy to digest and provides energy without irritating the gut. Ginger tea is soothing and has anti-inflammatory and antiemetic (anti-nausea) properties; steeping fresh ginger slices in hot water, optionally with a little honey, can relieve abdominal cramps and reduce nausea. Other traditional remedies include consuming boiled potato without skin, drinking chamomile tea, and eating yogurt (if not lactose intolerant). While these remedies are safe for mild to moderate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they should not replace ORS in cases of significant dehydration. If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persists beyond 48 hours, is accompanied by high fever, blood, or severe abdominal pain, medical attention is necessary.</w:t>
      </w:r>
    </w:p>
    <w:p w14:paraId="261CE107"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3A06DF75">
          <v:rect id="_x0000_i1030" style="width:0;height:.75pt" o:hralign="center" o:hrstd="t" o:hr="t" fillcolor="#a0a0a0" stroked="f"/>
        </w:pict>
      </w:r>
    </w:p>
    <w:p w14:paraId="3CF19539"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PAGES 17–19: LIVER DISEASE</w:t>
      </w:r>
    </w:p>
    <w:p w14:paraId="1AF670B8"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17: Causes and Risk Factors</w:t>
      </w:r>
    </w:p>
    <w:p w14:paraId="7B4F017B"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lastRenderedPageBreak/>
        <w:t>Liver disease encompasses a range of conditions including fatty liver disease, hepatitis, cirrhosis, and liver failure. Excessive alcohol consumption is a leading cause: alcoholic liver disease progresses from fatty liver (reversible) to alcoholic hepatitis (inflammation) to cirrhosis (scarring) with continued drinking. Fatty diets, particularly those high in saturated fats, trans fats, and refined sugars, contribute to non-alcoholic fatty liver disease (NAFLD), which is now the most common liver disease worldwide. NAFLD is closely linked to obesity, insulin resistance, and type 2 diabetes. Hepatitis infections—especially Hepatitis B and C—are viral causes that can lead to chronic inflammation, cirrhosis, and liver cancer. Hepatitis A and E are acute, usually self-limiting, and transmitted via contaminated food/water. Other risk factors include certain medications (e.g., acetaminophen in high doses, some antibiotics, methotrexate), autoimmune conditions, genetic disorders (e.g., hemochromatosis, Wilson’s disease), and exposure to toxins or industrial chemicals. Obesity and diabetes amplify the risk of NAFLD and accelerate its progression to non-alcoholic steatohepatitis (NASH). The liver is a resilient organ, but repeated injury without adequate recovery time leads to fibrosis and eventually cirrhosis, which is irreversible. Early stages of liver disease are often asymptomatic, making prevention and regular check-ups critical.</w:t>
      </w:r>
    </w:p>
    <w:p w14:paraId="20F8C632"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Page 18: Prevention and Medical Treatment</w:t>
      </w:r>
    </w:p>
    <w:p w14:paraId="02D81F0B"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Prevention of liver disease involves avoiding known toxins and maintaining metabolic health. Avoiding alcohol—or limiting to moderate intake (up to one drink per day for women, two for men) for healthy individuals—is the most important step. For those with existing liver disease, complete abstinence is necessary. Maintaining a balanced low-fat diet rich in vegetables, fruits, whole grains, and lean proteins, while avoiding fried foods, sugary snacks, and processed meats, reduces fat accumulation in the liver. Managing weight through diet and exercise is key for NAFLD; even a 5–10% weight loss can significantly reduce liver fat and inflammation. Taking vaccinations such as for Hepatitis A and B is highly effective for those at risk (e.g., healthcare workers, </w:t>
      </w:r>
      <w:proofErr w:type="spellStart"/>
      <w:r w:rsidRPr="00032282">
        <w:rPr>
          <w:rFonts w:ascii="Segoe UI" w:eastAsia="Times New Roman" w:hAnsi="Segoe UI" w:cs="Segoe UI"/>
          <w:color w:val="0F1115"/>
          <w:sz w:val="24"/>
          <w:szCs w:val="24"/>
          <w:lang w:eastAsia="en-IN" w:bidi="mr-IN"/>
        </w:rPr>
        <w:t>travelers</w:t>
      </w:r>
      <w:proofErr w:type="spellEnd"/>
      <w:r w:rsidRPr="00032282">
        <w:rPr>
          <w:rFonts w:ascii="Segoe UI" w:eastAsia="Times New Roman" w:hAnsi="Segoe UI" w:cs="Segoe UI"/>
          <w:color w:val="0F1115"/>
          <w:sz w:val="24"/>
          <w:szCs w:val="24"/>
          <w:lang w:eastAsia="en-IN" w:bidi="mr-IN"/>
        </w:rPr>
        <w:t>, people with chronic liver disease). Avoiding sharing needles, practicing safe sex, and ensuring safe blood transfusions prevent Hepatitis B and C transmission. Treatment depends on the cause. For viral hepatitis, antiviral drugs (e.g., entecavir, tenofovir for Hepatitis B; direct-acting antivirals like sofosbuvir for Hepatitis C) can cure or control the infection. For NAFLD, there is no specific drug; treatment focuses on weight loss, exercise, and managing diabetes and cholesterol. For autoimmune hepatitis, corticosteroids and immunosuppressants are used. In end-stage cirrhosis, liver transplantation may be the only option. All patients with liver disease should avoid acetaminophen (paracetamol) at high doses and consult their doctor before taking any new medication or supplement, as the liver metabolizes many substances.</w:t>
      </w:r>
    </w:p>
    <w:p w14:paraId="382BA949"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lastRenderedPageBreak/>
        <w:t>Page 19: Ayurvedic Support for Liver Health</w:t>
      </w:r>
    </w:p>
    <w:p w14:paraId="7E0A2983"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Ayurveda considers the liver (</w:t>
      </w:r>
      <w:proofErr w:type="spellStart"/>
      <w:r w:rsidRPr="00032282">
        <w:rPr>
          <w:rFonts w:ascii="Segoe UI" w:eastAsia="Times New Roman" w:hAnsi="Segoe UI" w:cs="Segoe UI"/>
          <w:color w:val="0F1115"/>
          <w:sz w:val="24"/>
          <w:szCs w:val="24"/>
          <w:lang w:eastAsia="en-IN" w:bidi="mr-IN"/>
        </w:rPr>
        <w:t>yakrit</w:t>
      </w:r>
      <w:proofErr w:type="spellEnd"/>
      <w:r w:rsidRPr="00032282">
        <w:rPr>
          <w:rFonts w:ascii="Segoe UI" w:eastAsia="Times New Roman" w:hAnsi="Segoe UI" w:cs="Segoe UI"/>
          <w:color w:val="0F1115"/>
          <w:sz w:val="24"/>
          <w:szCs w:val="24"/>
          <w:lang w:eastAsia="en-IN" w:bidi="mr-IN"/>
        </w:rPr>
        <w:t>) as the seat of </w:t>
      </w:r>
      <w:r w:rsidRPr="00032282">
        <w:rPr>
          <w:rFonts w:ascii="Segoe UI" w:eastAsia="Times New Roman" w:hAnsi="Segoe UI" w:cs="Segoe UI"/>
          <w:i/>
          <w:iCs/>
          <w:color w:val="0F1115"/>
          <w:sz w:val="24"/>
          <w:szCs w:val="24"/>
          <w:lang w:eastAsia="en-IN" w:bidi="mr-IN"/>
        </w:rPr>
        <w:t>Pitta dosha</w:t>
      </w:r>
      <w:r w:rsidRPr="00032282">
        <w:rPr>
          <w:rFonts w:ascii="Segoe UI" w:eastAsia="Times New Roman" w:hAnsi="Segoe UI" w:cs="Segoe UI"/>
          <w:color w:val="0F1115"/>
          <w:sz w:val="24"/>
          <w:szCs w:val="24"/>
          <w:lang w:eastAsia="en-IN" w:bidi="mr-IN"/>
        </w:rPr>
        <w:t xml:space="preserve"> and a key organ for metabolism, blood formation, and detoxification. Several herbs and remedies are traditionally used to support liver function. Amla (Indian gooseberry, </w:t>
      </w:r>
      <w:proofErr w:type="spellStart"/>
      <w:r w:rsidRPr="00032282">
        <w:rPr>
          <w:rFonts w:ascii="Segoe UI" w:eastAsia="Times New Roman" w:hAnsi="Segoe UI" w:cs="Segoe UI"/>
          <w:color w:val="0F1115"/>
          <w:sz w:val="24"/>
          <w:szCs w:val="24"/>
          <w:lang w:eastAsia="en-IN" w:bidi="mr-IN"/>
        </w:rPr>
        <w:t>Emblica</w:t>
      </w:r>
      <w:proofErr w:type="spellEnd"/>
      <w:r w:rsidRPr="00032282">
        <w:rPr>
          <w:rFonts w:ascii="Segoe UI" w:eastAsia="Times New Roman" w:hAnsi="Segoe UI" w:cs="Segoe UI"/>
          <w:color w:val="0F1115"/>
          <w:sz w:val="24"/>
          <w:szCs w:val="24"/>
          <w:lang w:eastAsia="en-IN" w:bidi="mr-IN"/>
        </w:rPr>
        <w:t xml:space="preserve"> officinalis) is rich in vitamin C and other antioxidants; it helps protect liver cells from oxidative damage and supports regeneration. Amla can be taken as fresh fruit, juice, or dried powder. </w:t>
      </w:r>
      <w:proofErr w:type="spellStart"/>
      <w:r w:rsidRPr="00032282">
        <w:rPr>
          <w:rFonts w:ascii="Segoe UI" w:eastAsia="Times New Roman" w:hAnsi="Segoe UI" w:cs="Segoe UI"/>
          <w:color w:val="0F1115"/>
          <w:sz w:val="24"/>
          <w:szCs w:val="24"/>
          <w:lang w:eastAsia="en-IN" w:bidi="mr-IN"/>
        </w:rPr>
        <w:t>Kutki</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Picrorhiza</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kurroa</w:t>
      </w:r>
      <w:proofErr w:type="spellEnd"/>
      <w:r w:rsidRPr="00032282">
        <w:rPr>
          <w:rFonts w:ascii="Segoe UI" w:eastAsia="Times New Roman" w:hAnsi="Segoe UI" w:cs="Segoe UI"/>
          <w:color w:val="0F1115"/>
          <w:sz w:val="24"/>
          <w:szCs w:val="24"/>
          <w:lang w:eastAsia="en-IN" w:bidi="mr-IN"/>
        </w:rPr>
        <w:t>) is a potent liver-detoxifying herb; it stimulates bile production, protects against hepatotoxins, and has anti-inflammatory properties. It is often used in Ayurvedic formulations for jaundice and chronic hepatitis. Turmeric milk (</w:t>
      </w:r>
      <w:proofErr w:type="spellStart"/>
      <w:r w:rsidRPr="00032282">
        <w:rPr>
          <w:rFonts w:ascii="Segoe UI" w:eastAsia="Times New Roman" w:hAnsi="Segoe UI" w:cs="Segoe UI"/>
          <w:color w:val="0F1115"/>
          <w:sz w:val="24"/>
          <w:szCs w:val="24"/>
          <w:lang w:eastAsia="en-IN" w:bidi="mr-IN"/>
        </w:rPr>
        <w:t>haldi</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doodh</w:t>
      </w:r>
      <w:proofErr w:type="spellEnd"/>
      <w:r w:rsidRPr="00032282">
        <w:rPr>
          <w:rFonts w:ascii="Segoe UI" w:eastAsia="Times New Roman" w:hAnsi="Segoe UI" w:cs="Segoe UI"/>
          <w:color w:val="0F1115"/>
          <w:sz w:val="24"/>
          <w:szCs w:val="24"/>
          <w:lang w:eastAsia="en-IN" w:bidi="mr-IN"/>
        </w:rPr>
        <w:t xml:space="preserve">) is a widely known remedy: turmeric contains curcumin, which has powerful anti-inflammatory and antioxidant effects that reduce liver inflammation. Drinking a cup of warm milk with a teaspoon of turmeric (and a pinch of black pepper to enhance absorption) daily can be beneficial. Aloe vera juice is another supportive remedy; it helps improve liver function by reducing inflammation and promoting detoxification. However, aloe vera should be used in moderation and only the inner gel (not the latex, which can be harsh). Other beneficial herbs include </w:t>
      </w:r>
      <w:proofErr w:type="spellStart"/>
      <w:r w:rsidRPr="00032282">
        <w:rPr>
          <w:rFonts w:ascii="Segoe UI" w:eastAsia="Times New Roman" w:hAnsi="Segoe UI" w:cs="Segoe UI"/>
          <w:color w:val="0F1115"/>
          <w:sz w:val="24"/>
          <w:szCs w:val="24"/>
          <w:lang w:eastAsia="en-IN" w:bidi="mr-IN"/>
        </w:rPr>
        <w:t>bhumi</w:t>
      </w:r>
      <w:proofErr w:type="spellEnd"/>
      <w:r w:rsidRPr="00032282">
        <w:rPr>
          <w:rFonts w:ascii="Segoe UI" w:eastAsia="Times New Roman" w:hAnsi="Segoe UI" w:cs="Segoe UI"/>
          <w:color w:val="0F1115"/>
          <w:sz w:val="24"/>
          <w:szCs w:val="24"/>
          <w:lang w:eastAsia="en-IN" w:bidi="mr-IN"/>
        </w:rPr>
        <w:t xml:space="preserve"> amla (Phyllanthus </w:t>
      </w:r>
      <w:proofErr w:type="spellStart"/>
      <w:r w:rsidRPr="00032282">
        <w:rPr>
          <w:rFonts w:ascii="Segoe UI" w:eastAsia="Times New Roman" w:hAnsi="Segoe UI" w:cs="Segoe UI"/>
          <w:color w:val="0F1115"/>
          <w:sz w:val="24"/>
          <w:szCs w:val="24"/>
          <w:lang w:eastAsia="en-IN" w:bidi="mr-IN"/>
        </w:rPr>
        <w:t>niruri</w:t>
      </w:r>
      <w:proofErr w:type="spellEnd"/>
      <w:r w:rsidRPr="00032282">
        <w:rPr>
          <w:rFonts w:ascii="Segoe UI" w:eastAsia="Times New Roman" w:hAnsi="Segoe UI" w:cs="Segoe UI"/>
          <w:color w:val="0F1115"/>
          <w:sz w:val="24"/>
          <w:szCs w:val="24"/>
          <w:lang w:eastAsia="en-IN" w:bidi="mr-IN"/>
        </w:rPr>
        <w:t>) for viral hepatitis, and milk thistle (Silybum marianum), though milk thistle is more Western herbalism. As with all herbal approaches, these should complement—not replace—medical treatment. Individuals with known liver disease must consult both a hepatologist and an Ayurvedic practitioner before starting any herbal remedy, as some herbs can interact with antiviral drugs or may be metabolized by the liver in unpredictable ways.</w:t>
      </w:r>
    </w:p>
    <w:p w14:paraId="66E78F2F"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34B76C50">
          <v:rect id="_x0000_i1031" style="width:0;height:.75pt" o:hralign="center" o:hrstd="t" o:hr="t" fillcolor="#a0a0a0" stroked="f"/>
        </w:pict>
      </w:r>
    </w:p>
    <w:p w14:paraId="5C6CDD02"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PAGE 20: OVERALL PREVENTION AND CONCLUSION</w:t>
      </w:r>
    </w:p>
    <w:p w14:paraId="576774E2"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Overall, maintaining a healthy lifestyle is the most effective way to prevent all the diseases discussed—heart disease, kidney disease, diabetes,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and liver disease. This includes regular physical activity, such as walking, cycling, or yoga, for at least 30 minutes most days of the week. A balanced diet rich in whole grains, fresh fruits and vegetables, lean proteins, and healthy fats, while low in salt, sugar, fried foods, and processed items, provides the nutrients needed for optimal organ function. Adequate hydration—primarily with clean water—supports kidney function, digestion, and overall metabolism. Proper sleep of 7–9 hours per night allows the body to repair tissues and regulate hormones, including those that control appetite and stress. Stress management through techniques like deep breathing, meditation, mindfulness, or engaging in hobbies reduces chronic inflammation and lowers the risk of heart disease and diabetes. Herbal and Vedic approaches can support health, as detailed in the previous sections, but they should complement—not replace—modern medical treatment. For example, using Arjuna for the heart or fenugreek for </w:t>
      </w:r>
      <w:r w:rsidRPr="00032282">
        <w:rPr>
          <w:rFonts w:ascii="Segoe UI" w:eastAsia="Times New Roman" w:hAnsi="Segoe UI" w:cs="Segoe UI"/>
          <w:color w:val="0F1115"/>
          <w:sz w:val="24"/>
          <w:szCs w:val="24"/>
          <w:lang w:eastAsia="en-IN" w:bidi="mr-IN"/>
        </w:rPr>
        <w:lastRenderedPageBreak/>
        <w:t xml:space="preserve">diabetes alongside prescribed medications can enhance outcomes, but never should one discontinue insulin or statins in </w:t>
      </w:r>
      <w:proofErr w:type="spellStart"/>
      <w:r w:rsidRPr="00032282">
        <w:rPr>
          <w:rFonts w:ascii="Segoe UI" w:eastAsia="Times New Roman" w:hAnsi="Segoe UI" w:cs="Segoe UI"/>
          <w:color w:val="0F1115"/>
          <w:sz w:val="24"/>
          <w:szCs w:val="24"/>
          <w:lang w:eastAsia="en-IN" w:bidi="mr-IN"/>
        </w:rPr>
        <w:t>favor</w:t>
      </w:r>
      <w:proofErr w:type="spellEnd"/>
      <w:r w:rsidRPr="00032282">
        <w:rPr>
          <w:rFonts w:ascii="Segoe UI" w:eastAsia="Times New Roman" w:hAnsi="Segoe UI" w:cs="Segoe UI"/>
          <w:color w:val="0F1115"/>
          <w:sz w:val="24"/>
          <w:szCs w:val="24"/>
          <w:lang w:eastAsia="en-IN" w:bidi="mr-IN"/>
        </w:rPr>
        <w:t xml:space="preserve"> of herbs alone. It is always advisable to consult a healthcare professional before starting any medication or remedy, whether allopathic, Ayurvedic, or herbal. Regular health check-ups, including blood pressure, blood sugar, lipid profile, kidney function tests, and liver enzymes, help detect problems early when they are most treatable. By integrating the wisdom of both modern medicine and ancient traditions, individuals can achieve a long, healthy, and vibrant life.</w:t>
      </w:r>
    </w:p>
    <w:p w14:paraId="3ECD9B6E" w14:textId="7E9B40E5" w:rsidR="00795A70" w:rsidRDefault="00795A70"/>
    <w:p w14:paraId="48CF20A9"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1. Demographics &amp; Baseline Health</w:t>
      </w:r>
    </w:p>
    <w:p w14:paraId="4D24C49E" w14:textId="77777777" w:rsidR="00032282" w:rsidRPr="00032282" w:rsidRDefault="00032282" w:rsidP="00032282">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age</w:t>
      </w:r>
      <w:r w:rsidRPr="00032282">
        <w:rPr>
          <w:rFonts w:ascii="Segoe UI" w:eastAsia="Times New Roman" w:hAnsi="Segoe UI" w:cs="Segoe UI"/>
          <w:color w:val="0F1115"/>
          <w:sz w:val="24"/>
          <w:szCs w:val="24"/>
          <w:lang w:eastAsia="en-IN" w:bidi="mr-IN"/>
        </w:rPr>
        <w:t xml:space="preserve"> – Many chronic diseases (kidney, heart, diabetes, liver) become more prevalent with age. Older patients are more likely to have hypertension, reduced kidney function, or metabolic syndrome.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however, can occur at any age and is often acute.</w:t>
      </w:r>
    </w:p>
    <w:p w14:paraId="1697B758" w14:textId="77777777" w:rsidR="00032282" w:rsidRPr="00032282" w:rsidRDefault="00032282" w:rsidP="00032282">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gender</w:t>
      </w:r>
      <w:r w:rsidRPr="00032282">
        <w:rPr>
          <w:rFonts w:ascii="Segoe UI" w:eastAsia="Times New Roman" w:hAnsi="Segoe UI" w:cs="Segoe UI"/>
          <w:color w:val="0F1115"/>
          <w:sz w:val="24"/>
          <w:szCs w:val="24"/>
          <w:lang w:eastAsia="en-IN" w:bidi="mr-IN"/>
        </w:rPr>
        <w:t> – Some diseases have gender biases (e.g., autoimmune liver disease more common in females; heart disease often presents earlier in males). It helps contextualize other biomarkers.</w:t>
      </w:r>
    </w:p>
    <w:p w14:paraId="55616B8E"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511C5E8E">
          <v:rect id="_x0000_i1039" style="width:0;height:.75pt" o:hralign="center" o:hrstd="t" o:hr="t" fillcolor="#a0a0a0" stroked="f"/>
        </w:pict>
      </w:r>
    </w:p>
    <w:p w14:paraId="15681675"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2. Vital Signs &amp; Physical Metrics</w:t>
      </w:r>
    </w:p>
    <w:p w14:paraId="5532413F" w14:textId="77777777" w:rsidR="00032282" w:rsidRPr="00032282" w:rsidRDefault="00032282" w:rsidP="00032282">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systolic_bp</w:t>
      </w:r>
      <w:proofErr w:type="spellEnd"/>
      <w:r w:rsidRPr="00032282">
        <w:rPr>
          <w:rFonts w:ascii="Segoe UI" w:eastAsia="Times New Roman" w:hAnsi="Segoe UI" w:cs="Segoe UI"/>
          <w:b/>
          <w:bCs/>
          <w:color w:val="0F1115"/>
          <w:sz w:val="24"/>
          <w:szCs w:val="24"/>
          <w:lang w:eastAsia="en-IN" w:bidi="mr-IN"/>
        </w:rPr>
        <w:t xml:space="preserve"> / </w:t>
      </w:r>
      <w:proofErr w:type="spellStart"/>
      <w:r w:rsidRPr="00032282">
        <w:rPr>
          <w:rFonts w:ascii="Segoe UI" w:eastAsia="Times New Roman" w:hAnsi="Segoe UI" w:cs="Segoe UI"/>
          <w:b/>
          <w:bCs/>
          <w:color w:val="0F1115"/>
          <w:sz w:val="24"/>
          <w:szCs w:val="24"/>
          <w:lang w:eastAsia="en-IN" w:bidi="mr-IN"/>
        </w:rPr>
        <w:t>diastolic_bp</w:t>
      </w:r>
      <w:proofErr w:type="spellEnd"/>
      <w:r w:rsidRPr="00032282">
        <w:rPr>
          <w:rFonts w:ascii="Segoe UI" w:eastAsia="Times New Roman" w:hAnsi="Segoe UI" w:cs="Segoe UI"/>
          <w:color w:val="0F1115"/>
          <w:sz w:val="24"/>
          <w:szCs w:val="24"/>
          <w:lang w:eastAsia="en-IN" w:bidi="mr-IN"/>
        </w:rPr>
        <w:t> – High blood pressure is a major risk factor for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and </w:t>
      </w:r>
      <w:r w:rsidRPr="00032282">
        <w:rPr>
          <w:rFonts w:ascii="Segoe UI" w:eastAsia="Times New Roman" w:hAnsi="Segoe UI" w:cs="Segoe UI"/>
          <w:b/>
          <w:bCs/>
          <w:color w:val="0F1115"/>
          <w:sz w:val="24"/>
          <w:szCs w:val="24"/>
          <w:lang w:eastAsia="en-IN" w:bidi="mr-IN"/>
        </w:rPr>
        <w:t>kidney disease</w:t>
      </w:r>
      <w:r w:rsidRPr="00032282">
        <w:rPr>
          <w:rFonts w:ascii="Segoe UI" w:eastAsia="Times New Roman" w:hAnsi="Segoe UI" w:cs="Segoe UI"/>
          <w:color w:val="0F1115"/>
          <w:sz w:val="24"/>
          <w:szCs w:val="24"/>
          <w:lang w:eastAsia="en-IN" w:bidi="mr-IN"/>
        </w:rPr>
        <w:t> (hypertensive nephropathy). Low blood pressure can be seen in severe infections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with dehydration). Normal BP is typical in healthy individuals.</w:t>
      </w:r>
    </w:p>
    <w:p w14:paraId="03FDF751" w14:textId="77777777" w:rsidR="00032282" w:rsidRPr="00032282" w:rsidRDefault="00032282" w:rsidP="00032282">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heart_rate</w:t>
      </w:r>
      <w:proofErr w:type="spellEnd"/>
      <w:r w:rsidRPr="00032282">
        <w:rPr>
          <w:rFonts w:ascii="Segoe UI" w:eastAsia="Times New Roman" w:hAnsi="Segoe UI" w:cs="Segoe UI"/>
          <w:color w:val="0F1115"/>
          <w:sz w:val="24"/>
          <w:szCs w:val="24"/>
          <w:lang w:eastAsia="en-IN" w:bidi="mr-IN"/>
        </w:rPr>
        <w:t> – Tachycardia (high heart rate) may indicate fever, dehydration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or cardiac stress. Bradycardia is less specific but can be a sign of certain metabolic disorders.</w:t>
      </w:r>
    </w:p>
    <w:p w14:paraId="41058158" w14:textId="77777777" w:rsidR="00032282" w:rsidRPr="00032282" w:rsidRDefault="00032282" w:rsidP="00032282">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bmi</w:t>
      </w:r>
      <w:proofErr w:type="spellEnd"/>
      <w:r w:rsidRPr="00032282">
        <w:rPr>
          <w:rFonts w:ascii="Segoe UI" w:eastAsia="Times New Roman" w:hAnsi="Segoe UI" w:cs="Segoe UI"/>
          <w:color w:val="0F1115"/>
          <w:sz w:val="24"/>
          <w:szCs w:val="24"/>
          <w:lang w:eastAsia="en-IN" w:bidi="mr-IN"/>
        </w:rPr>
        <w:t> – Obesity (BMI &gt;30) strongly correlates with </w:t>
      </w: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and non-alcoholic fatty liver disease. Low BMI might be seen in chronic illness or malnutrition.</w:t>
      </w:r>
    </w:p>
    <w:p w14:paraId="0B3FD92D"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486453CA">
          <v:rect id="_x0000_i1040" style="width:0;height:.75pt" o:hralign="center" o:hrstd="t" o:hr="t" fillcolor="#a0a0a0" stroked="f"/>
        </w:pict>
      </w:r>
    </w:p>
    <w:p w14:paraId="2B7B3C69"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3. Blood Glucose &amp; Diabetes Markers</w:t>
      </w:r>
    </w:p>
    <w:p w14:paraId="31C9504D" w14:textId="77777777" w:rsidR="00032282" w:rsidRPr="00032282" w:rsidRDefault="00032282" w:rsidP="00032282">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lastRenderedPageBreak/>
        <w:t>fasting_blood_sugar</w:t>
      </w:r>
      <w:proofErr w:type="spellEnd"/>
      <w:r w:rsidRPr="00032282">
        <w:rPr>
          <w:rFonts w:ascii="Segoe UI" w:eastAsia="Times New Roman" w:hAnsi="Segoe UI" w:cs="Segoe UI"/>
          <w:color w:val="0F1115"/>
          <w:sz w:val="24"/>
          <w:szCs w:val="24"/>
          <w:lang w:eastAsia="en-IN" w:bidi="mr-IN"/>
        </w:rPr>
        <w:t> – Elevated levels (&gt;126 mg/dL) are diagnostic for </w:t>
      </w: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Even pre-diabetic ranges (100-125 mg/dL) increase risk for heart disease and kidney disease.</w:t>
      </w:r>
    </w:p>
    <w:p w14:paraId="131A70BE" w14:textId="77777777" w:rsidR="00032282" w:rsidRPr="00032282" w:rsidRDefault="00032282" w:rsidP="00032282">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hba1c</w:t>
      </w:r>
      <w:r w:rsidRPr="00032282">
        <w:rPr>
          <w:rFonts w:ascii="Segoe UI" w:eastAsia="Times New Roman" w:hAnsi="Segoe UI" w:cs="Segoe UI"/>
          <w:color w:val="0F1115"/>
          <w:sz w:val="24"/>
          <w:szCs w:val="24"/>
          <w:lang w:eastAsia="en-IN" w:bidi="mr-IN"/>
        </w:rPr>
        <w:t xml:space="preserve"> (glycated </w:t>
      </w:r>
      <w:proofErr w:type="spellStart"/>
      <w:r w:rsidRPr="00032282">
        <w:rPr>
          <w:rFonts w:ascii="Segoe UI" w:eastAsia="Times New Roman" w:hAnsi="Segoe UI" w:cs="Segoe UI"/>
          <w:color w:val="0F1115"/>
          <w:sz w:val="24"/>
          <w:szCs w:val="24"/>
          <w:lang w:eastAsia="en-IN" w:bidi="mr-IN"/>
        </w:rPr>
        <w:t>hemoglobin</w:t>
      </w:r>
      <w:proofErr w:type="spellEnd"/>
      <w:r w:rsidRPr="00032282">
        <w:rPr>
          <w:rFonts w:ascii="Segoe UI" w:eastAsia="Times New Roman" w:hAnsi="Segoe UI" w:cs="Segoe UI"/>
          <w:color w:val="0F1115"/>
          <w:sz w:val="24"/>
          <w:szCs w:val="24"/>
          <w:lang w:eastAsia="en-IN" w:bidi="mr-IN"/>
        </w:rPr>
        <w:t>) – Reflects average blood sugar over 2</w:t>
      </w:r>
      <w:r w:rsidRPr="00032282">
        <w:rPr>
          <w:rFonts w:ascii="Segoe UI" w:eastAsia="Times New Roman" w:hAnsi="Segoe UI" w:cs="Segoe UI"/>
          <w:color w:val="0F1115"/>
          <w:sz w:val="24"/>
          <w:szCs w:val="24"/>
          <w:lang w:eastAsia="en-IN" w:bidi="mr-IN"/>
        </w:rPr>
        <w:noBreakHyphen/>
        <w:t>3 months. Values ≥6.5% confirm </w:t>
      </w: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It is the most reliable long-term marker for diabetes diagnosis and monitoring.</w:t>
      </w:r>
    </w:p>
    <w:p w14:paraId="7863E989"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4BEF3CEE">
          <v:rect id="_x0000_i1041" style="width:0;height:.75pt" o:hralign="center" o:hrstd="t" o:hr="t" fillcolor="#a0a0a0" stroked="f"/>
        </w:pict>
      </w:r>
    </w:p>
    <w:p w14:paraId="2C0315AC"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4. Kidney Function Markers</w:t>
      </w:r>
    </w:p>
    <w:p w14:paraId="0D63265A" w14:textId="77777777" w:rsidR="00032282" w:rsidRPr="00032282" w:rsidRDefault="00032282" w:rsidP="00032282">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creatinine</w:t>
      </w:r>
      <w:r w:rsidRPr="00032282">
        <w:rPr>
          <w:rFonts w:ascii="Segoe UI" w:eastAsia="Times New Roman" w:hAnsi="Segoe UI" w:cs="Segoe UI"/>
          <w:color w:val="0F1115"/>
          <w:sz w:val="24"/>
          <w:szCs w:val="24"/>
          <w:lang w:eastAsia="en-IN" w:bidi="mr-IN"/>
        </w:rPr>
        <w:t> – A waste product filtered by kidneys. High creatinine (&gt;1.2 for women, &gt;1.3 for men) indicates reduced glomerular filtration rate, a hallmark of </w:t>
      </w:r>
      <w:r w:rsidRPr="00032282">
        <w:rPr>
          <w:rFonts w:ascii="Segoe UI" w:eastAsia="Times New Roman" w:hAnsi="Segoe UI" w:cs="Segoe UI"/>
          <w:b/>
          <w:bCs/>
          <w:color w:val="0F1115"/>
          <w:sz w:val="24"/>
          <w:szCs w:val="24"/>
          <w:lang w:eastAsia="en-IN" w:bidi="mr-IN"/>
        </w:rPr>
        <w:t>kidney disease</w:t>
      </w:r>
      <w:r w:rsidRPr="00032282">
        <w:rPr>
          <w:rFonts w:ascii="Segoe UI" w:eastAsia="Times New Roman" w:hAnsi="Segoe UI" w:cs="Segoe UI"/>
          <w:color w:val="0F1115"/>
          <w:sz w:val="24"/>
          <w:szCs w:val="24"/>
          <w:lang w:eastAsia="en-IN" w:bidi="mr-IN"/>
        </w:rPr>
        <w:t>. In the dataset, many kidney disease patients have creatinine &gt;1.5.</w:t>
      </w:r>
    </w:p>
    <w:p w14:paraId="2FC30D62" w14:textId="77777777" w:rsidR="00032282" w:rsidRPr="00032282" w:rsidRDefault="00032282" w:rsidP="00032282">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i/>
          <w:iCs/>
          <w:color w:val="0F1115"/>
          <w:sz w:val="24"/>
          <w:szCs w:val="24"/>
          <w:lang w:eastAsia="en-IN" w:bidi="mr-IN"/>
        </w:rPr>
        <w:t>(Note: No eGFR is given, but creatinine alone is a strong indicator.)</w:t>
      </w:r>
    </w:p>
    <w:p w14:paraId="68E53567"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34015A6B">
          <v:rect id="_x0000_i1042" style="width:0;height:.75pt" o:hralign="center" o:hrstd="t" o:hr="t" fillcolor="#a0a0a0" stroked="f"/>
        </w:pict>
      </w:r>
    </w:p>
    <w:p w14:paraId="3C3E913A"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5. Liver Function Marker</w:t>
      </w:r>
    </w:p>
    <w:p w14:paraId="47562B9F" w14:textId="77777777" w:rsidR="00032282" w:rsidRPr="00032282" w:rsidRDefault="00032282" w:rsidP="00032282">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alt_sgpt</w:t>
      </w:r>
      <w:proofErr w:type="spellEnd"/>
      <w:r w:rsidRPr="00032282">
        <w:rPr>
          <w:rFonts w:ascii="Segoe UI" w:eastAsia="Times New Roman" w:hAnsi="Segoe UI" w:cs="Segoe UI"/>
          <w:color w:val="0F1115"/>
          <w:sz w:val="24"/>
          <w:szCs w:val="24"/>
          <w:lang w:eastAsia="en-IN" w:bidi="mr-IN"/>
        </w:rPr>
        <w:t> (alanine aminotransferase) – An enzyme released when liver cells are damaged. Elevated ALT (&gt;40 U/L) suggests </w:t>
      </w:r>
      <w:r w:rsidRPr="00032282">
        <w:rPr>
          <w:rFonts w:ascii="Segoe UI" w:eastAsia="Times New Roman" w:hAnsi="Segoe UI" w:cs="Segoe UI"/>
          <w:b/>
          <w:bCs/>
          <w:color w:val="0F1115"/>
          <w:sz w:val="24"/>
          <w:szCs w:val="24"/>
          <w:lang w:eastAsia="en-IN" w:bidi="mr-IN"/>
        </w:rPr>
        <w:t>liver disease</w:t>
      </w:r>
      <w:r w:rsidRPr="00032282">
        <w:rPr>
          <w:rFonts w:ascii="Segoe UI" w:eastAsia="Times New Roman" w:hAnsi="Segoe UI" w:cs="Segoe UI"/>
          <w:color w:val="0F1115"/>
          <w:sz w:val="24"/>
          <w:szCs w:val="24"/>
          <w:lang w:eastAsia="en-IN" w:bidi="mr-IN"/>
        </w:rPr>
        <w:t> (hepatitis, fatty liver, cirrhosis). Very high values (e.g., &gt;70) are often seen in liver disease patients in this dataset.</w:t>
      </w:r>
    </w:p>
    <w:p w14:paraId="4FD44C86"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32F67A30">
          <v:rect id="_x0000_i1043" style="width:0;height:.75pt" o:hralign="center" o:hrstd="t" o:hr="t" fillcolor="#a0a0a0" stroked="f"/>
        </w:pict>
      </w:r>
    </w:p>
    <w:p w14:paraId="1E88A1C0"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6. Lipid Profile (Cardiovascular Risk)</w:t>
      </w:r>
    </w:p>
    <w:p w14:paraId="7AB1F9E5" w14:textId="77777777" w:rsidR="00032282" w:rsidRPr="00032282" w:rsidRDefault="00032282" w:rsidP="00032282">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total_cholesterol</w:t>
      </w:r>
      <w:proofErr w:type="spellEnd"/>
      <w:r w:rsidRPr="00032282">
        <w:rPr>
          <w:rFonts w:ascii="Segoe UI" w:eastAsia="Times New Roman" w:hAnsi="Segoe UI" w:cs="Segoe UI"/>
          <w:color w:val="0F1115"/>
          <w:sz w:val="24"/>
          <w:szCs w:val="24"/>
          <w:lang w:eastAsia="en-IN" w:bidi="mr-IN"/>
        </w:rPr>
        <w:t> – High total cholesterol (&gt;200 mg/dL) is a risk factor for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and atherosclerosis. It also correlates with fatty liver.</w:t>
      </w:r>
    </w:p>
    <w:p w14:paraId="18CCBA68" w14:textId="77777777" w:rsidR="00032282" w:rsidRPr="00032282" w:rsidRDefault="00032282" w:rsidP="00032282">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ldl</w:t>
      </w:r>
      <w:proofErr w:type="spellEnd"/>
      <w:r w:rsidRPr="00032282">
        <w:rPr>
          <w:rFonts w:ascii="Segoe UI" w:eastAsia="Times New Roman" w:hAnsi="Segoe UI" w:cs="Segoe UI"/>
          <w:color w:val="0F1115"/>
          <w:sz w:val="24"/>
          <w:szCs w:val="24"/>
          <w:lang w:eastAsia="en-IN" w:bidi="mr-IN"/>
        </w:rPr>
        <w:t> (low-density lipoprotein) – “Bad” cholesterol. Elevated LDL directly promotes plaque formation in arteries, leading to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and stroke.</w:t>
      </w:r>
    </w:p>
    <w:p w14:paraId="0117F722" w14:textId="77777777" w:rsidR="00032282" w:rsidRPr="00032282" w:rsidRDefault="00032282" w:rsidP="00032282">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hdl</w:t>
      </w:r>
      <w:proofErr w:type="spellEnd"/>
      <w:r w:rsidRPr="00032282">
        <w:rPr>
          <w:rFonts w:ascii="Segoe UI" w:eastAsia="Times New Roman" w:hAnsi="Segoe UI" w:cs="Segoe UI"/>
          <w:color w:val="0F1115"/>
          <w:sz w:val="24"/>
          <w:szCs w:val="24"/>
          <w:lang w:eastAsia="en-IN" w:bidi="mr-IN"/>
        </w:rPr>
        <w:t> (high-density lipoprotein) – “Good” cholesterol. Low HDL (&lt;40 mg/dL in men, &lt;50 mg/dL in women) is an independent risk factor for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w:t>
      </w:r>
    </w:p>
    <w:p w14:paraId="0F70948B"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34BA4992">
          <v:rect id="_x0000_i1044" style="width:0;height:.75pt" o:hralign="center" o:hrstd="t" o:hr="t" fillcolor="#a0a0a0" stroked="f"/>
        </w:pict>
      </w:r>
    </w:p>
    <w:p w14:paraId="6CFF4D05"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lastRenderedPageBreak/>
        <w:t>7. Lifestyle &amp; Psychosocial Factors</w:t>
      </w:r>
    </w:p>
    <w:p w14:paraId="193AAAD3" w14:textId="77777777" w:rsidR="00032282" w:rsidRPr="00032282" w:rsidRDefault="00032282" w:rsidP="00032282">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smoking</w:t>
      </w:r>
      <w:r w:rsidRPr="00032282">
        <w:rPr>
          <w:rFonts w:ascii="Segoe UI" w:eastAsia="Times New Roman" w:hAnsi="Segoe UI" w:cs="Segoe UI"/>
          <w:color w:val="0F1115"/>
          <w:sz w:val="24"/>
          <w:szCs w:val="24"/>
          <w:lang w:eastAsia="en-IN" w:bidi="mr-IN"/>
        </w:rPr>
        <w:t> (1 = yes, 0 = no) – Smoking accelerates vascular damage, increasing risk for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b/>
          <w:bCs/>
          <w:color w:val="0F1115"/>
          <w:sz w:val="24"/>
          <w:szCs w:val="24"/>
          <w:lang w:eastAsia="en-IN" w:bidi="mr-IN"/>
        </w:rPr>
        <w:t>kidney disease</w:t>
      </w:r>
      <w:r w:rsidRPr="00032282">
        <w:rPr>
          <w:rFonts w:ascii="Segoe UI" w:eastAsia="Times New Roman" w:hAnsi="Segoe UI" w:cs="Segoe UI"/>
          <w:color w:val="0F1115"/>
          <w:sz w:val="24"/>
          <w:szCs w:val="24"/>
          <w:lang w:eastAsia="en-IN" w:bidi="mr-IN"/>
        </w:rPr>
        <w:t>, and </w:t>
      </w: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complications.</w:t>
      </w:r>
    </w:p>
    <w:p w14:paraId="7AB80F08" w14:textId="77777777" w:rsidR="00032282" w:rsidRPr="00032282" w:rsidRDefault="00032282" w:rsidP="00032282">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physical_activity_level</w:t>
      </w:r>
      <w:proofErr w:type="spellEnd"/>
      <w:r w:rsidRPr="00032282">
        <w:rPr>
          <w:rFonts w:ascii="Segoe UI" w:eastAsia="Times New Roman" w:hAnsi="Segoe UI" w:cs="Segoe UI"/>
          <w:color w:val="0F1115"/>
          <w:sz w:val="24"/>
          <w:szCs w:val="24"/>
          <w:lang w:eastAsia="en-IN" w:bidi="mr-IN"/>
        </w:rPr>
        <w:t> (Low / Moderate / High) – Low activity is associated with obesity, diabetes, and heart disease. High activity is protective.</w:t>
      </w:r>
    </w:p>
    <w:p w14:paraId="02259075" w14:textId="77777777" w:rsidR="00032282" w:rsidRPr="00032282" w:rsidRDefault="00032282" w:rsidP="00032282">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stress_level</w:t>
      </w:r>
      <w:proofErr w:type="spellEnd"/>
      <w:r w:rsidRPr="00032282">
        <w:rPr>
          <w:rFonts w:ascii="Segoe UI" w:eastAsia="Times New Roman" w:hAnsi="Segoe UI" w:cs="Segoe UI"/>
          <w:color w:val="0F1115"/>
          <w:sz w:val="24"/>
          <w:szCs w:val="24"/>
          <w:lang w:eastAsia="en-IN" w:bidi="mr-IN"/>
        </w:rPr>
        <w:t> (scale 1</w:t>
      </w:r>
      <w:r w:rsidRPr="00032282">
        <w:rPr>
          <w:rFonts w:ascii="Segoe UI" w:eastAsia="Times New Roman" w:hAnsi="Segoe UI" w:cs="Segoe UI"/>
          <w:color w:val="0F1115"/>
          <w:sz w:val="24"/>
          <w:szCs w:val="24"/>
          <w:lang w:eastAsia="en-IN" w:bidi="mr-IN"/>
        </w:rPr>
        <w:noBreakHyphen/>
        <w:t xml:space="preserve">9) – Chronic high stress can contribute to hypertension, poor </w:t>
      </w:r>
      <w:proofErr w:type="spellStart"/>
      <w:r w:rsidRPr="00032282">
        <w:rPr>
          <w:rFonts w:ascii="Segoe UI" w:eastAsia="Times New Roman" w:hAnsi="Segoe UI" w:cs="Segoe UI"/>
          <w:color w:val="0F1115"/>
          <w:sz w:val="24"/>
          <w:szCs w:val="24"/>
          <w:lang w:eastAsia="en-IN" w:bidi="mr-IN"/>
        </w:rPr>
        <w:t>glycemic</w:t>
      </w:r>
      <w:proofErr w:type="spellEnd"/>
      <w:r w:rsidRPr="00032282">
        <w:rPr>
          <w:rFonts w:ascii="Segoe UI" w:eastAsia="Times New Roman" w:hAnsi="Segoe UI" w:cs="Segoe UI"/>
          <w:color w:val="0F1115"/>
          <w:sz w:val="24"/>
          <w:szCs w:val="24"/>
          <w:lang w:eastAsia="en-IN" w:bidi="mr-IN"/>
        </w:rPr>
        <w:t xml:space="preserve"> control, and unhealthy </w:t>
      </w:r>
      <w:proofErr w:type="spellStart"/>
      <w:r w:rsidRPr="00032282">
        <w:rPr>
          <w:rFonts w:ascii="Segoe UI" w:eastAsia="Times New Roman" w:hAnsi="Segoe UI" w:cs="Segoe UI"/>
          <w:color w:val="0F1115"/>
          <w:sz w:val="24"/>
          <w:szCs w:val="24"/>
          <w:lang w:eastAsia="en-IN" w:bidi="mr-IN"/>
        </w:rPr>
        <w:t>behaviors</w:t>
      </w:r>
      <w:proofErr w:type="spellEnd"/>
      <w:r w:rsidRPr="00032282">
        <w:rPr>
          <w:rFonts w:ascii="Segoe UI" w:eastAsia="Times New Roman" w:hAnsi="Segoe UI" w:cs="Segoe UI"/>
          <w:color w:val="0F1115"/>
          <w:sz w:val="24"/>
          <w:szCs w:val="24"/>
          <w:lang w:eastAsia="en-IN" w:bidi="mr-IN"/>
        </w:rPr>
        <w:t>, indirectly influencing all chronic diseases.</w:t>
      </w:r>
    </w:p>
    <w:p w14:paraId="7623975E"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69A5407A">
          <v:rect id="_x0000_i1045" style="width:0;height:.75pt" o:hralign="center" o:hrstd="t" o:hr="t" fillcolor="#a0a0a0" stroked="f"/>
        </w:pict>
      </w:r>
    </w:p>
    <w:p w14:paraId="4E72DA33"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8. Symptom Flags (Acute &amp; Chronic)</w:t>
      </w:r>
    </w:p>
    <w:p w14:paraId="2729BA69"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 xml:space="preserve">These binary (0/1) symptoms help differentiate acute conditions (like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from chronic diseases, and also provide clues for specific organ involvement.</w:t>
      </w:r>
    </w:p>
    <w:p w14:paraId="06E1067F" w14:textId="77777777" w:rsidR="00032282" w:rsidRPr="00032282" w:rsidRDefault="00032282" w:rsidP="00032282">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chest_pain</w:t>
      </w:r>
      <w:proofErr w:type="spellEnd"/>
      <w:r w:rsidRPr="00032282">
        <w:rPr>
          <w:rFonts w:ascii="Segoe UI" w:eastAsia="Times New Roman" w:hAnsi="Segoe UI" w:cs="Segoe UI"/>
          <w:color w:val="0F1115"/>
          <w:sz w:val="24"/>
          <w:szCs w:val="24"/>
          <w:lang w:eastAsia="en-IN" w:bidi="mr-IN"/>
        </w:rPr>
        <w:t> – Classic symptom of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xml:space="preserve"> (angina or myocardial infarction). Can also occur in severe acid reflux, but in this </w:t>
      </w:r>
      <w:proofErr w:type="gramStart"/>
      <w:r w:rsidRPr="00032282">
        <w:rPr>
          <w:rFonts w:ascii="Segoe UI" w:eastAsia="Times New Roman" w:hAnsi="Segoe UI" w:cs="Segoe UI"/>
          <w:color w:val="0F1115"/>
          <w:sz w:val="24"/>
          <w:szCs w:val="24"/>
          <w:lang w:eastAsia="en-IN" w:bidi="mr-IN"/>
        </w:rPr>
        <w:t>dataset</w:t>
      </w:r>
      <w:proofErr w:type="gramEnd"/>
      <w:r w:rsidRPr="00032282">
        <w:rPr>
          <w:rFonts w:ascii="Segoe UI" w:eastAsia="Times New Roman" w:hAnsi="Segoe UI" w:cs="Segoe UI"/>
          <w:color w:val="0F1115"/>
          <w:sz w:val="24"/>
          <w:szCs w:val="24"/>
          <w:lang w:eastAsia="en-IN" w:bidi="mr-IN"/>
        </w:rPr>
        <w:t xml:space="preserve"> it’s strongly associated with heart disease.</w:t>
      </w:r>
    </w:p>
    <w:p w14:paraId="01C2DA08" w14:textId="77777777" w:rsidR="00032282" w:rsidRPr="00032282" w:rsidRDefault="00032282" w:rsidP="00032282">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shortness_of_breath</w:t>
      </w:r>
      <w:proofErr w:type="spellEnd"/>
      <w:r w:rsidRPr="00032282">
        <w:rPr>
          <w:rFonts w:ascii="Segoe UI" w:eastAsia="Times New Roman" w:hAnsi="Segoe UI" w:cs="Segoe UI"/>
          <w:color w:val="0F1115"/>
          <w:sz w:val="24"/>
          <w:szCs w:val="24"/>
          <w:lang w:eastAsia="en-IN" w:bidi="mr-IN"/>
        </w:rPr>
        <w:t xml:space="preserve"> – May indicate heart failure (heart disease), severe </w:t>
      </w:r>
      <w:proofErr w:type="spellStart"/>
      <w:r w:rsidRPr="00032282">
        <w:rPr>
          <w:rFonts w:ascii="Segoe UI" w:eastAsia="Times New Roman" w:hAnsi="Segoe UI" w:cs="Segoe UI"/>
          <w:color w:val="0F1115"/>
          <w:sz w:val="24"/>
          <w:szCs w:val="24"/>
          <w:lang w:eastAsia="en-IN" w:bidi="mr-IN"/>
        </w:rPr>
        <w:t>anemia</w:t>
      </w:r>
      <w:proofErr w:type="spellEnd"/>
      <w:r w:rsidRPr="00032282">
        <w:rPr>
          <w:rFonts w:ascii="Segoe UI" w:eastAsia="Times New Roman" w:hAnsi="Segoe UI" w:cs="Segoe UI"/>
          <w:color w:val="0F1115"/>
          <w:sz w:val="24"/>
          <w:szCs w:val="24"/>
          <w:lang w:eastAsia="en-IN" w:bidi="mr-IN"/>
        </w:rPr>
        <w:t xml:space="preserve"> (kidney disease), or pulmonary issues. Common in advanced heart and kidney disease.</w:t>
      </w:r>
    </w:p>
    <w:p w14:paraId="2B33189C" w14:textId="77777777" w:rsidR="00032282" w:rsidRPr="00032282" w:rsidRDefault="00032282" w:rsidP="00032282">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frequent_urination</w:t>
      </w:r>
      <w:proofErr w:type="spellEnd"/>
      <w:r w:rsidRPr="00032282">
        <w:rPr>
          <w:rFonts w:ascii="Segoe UI" w:eastAsia="Times New Roman" w:hAnsi="Segoe UI" w:cs="Segoe UI"/>
          <w:color w:val="0F1115"/>
          <w:sz w:val="24"/>
          <w:szCs w:val="24"/>
          <w:lang w:eastAsia="en-IN" w:bidi="mr-IN"/>
        </w:rPr>
        <w:t> – A hallmark of </w:t>
      </w: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(polyuria from high blood glucose) and sometimes </w:t>
      </w:r>
      <w:r w:rsidRPr="00032282">
        <w:rPr>
          <w:rFonts w:ascii="Segoe UI" w:eastAsia="Times New Roman" w:hAnsi="Segoe UI" w:cs="Segoe UI"/>
          <w:b/>
          <w:bCs/>
          <w:color w:val="0F1115"/>
          <w:sz w:val="24"/>
          <w:szCs w:val="24"/>
          <w:lang w:eastAsia="en-IN" w:bidi="mr-IN"/>
        </w:rPr>
        <w:t>kidney disease</w:t>
      </w:r>
      <w:r w:rsidRPr="00032282">
        <w:rPr>
          <w:rFonts w:ascii="Segoe UI" w:eastAsia="Times New Roman" w:hAnsi="Segoe UI" w:cs="Segoe UI"/>
          <w:color w:val="0F1115"/>
          <w:sz w:val="24"/>
          <w:szCs w:val="24"/>
          <w:lang w:eastAsia="en-IN" w:bidi="mr-IN"/>
        </w:rPr>
        <w:t> (if urine concentration ability is lost).</w:t>
      </w:r>
    </w:p>
    <w:p w14:paraId="6243D8E3" w14:textId="77777777" w:rsidR="00032282" w:rsidRPr="00032282" w:rsidRDefault="00032282" w:rsidP="00032282">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abdominal_pain</w:t>
      </w:r>
      <w:proofErr w:type="spellEnd"/>
      <w:r w:rsidRPr="00032282">
        <w:rPr>
          <w:rFonts w:ascii="Segoe UI" w:eastAsia="Times New Roman" w:hAnsi="Segoe UI" w:cs="Segoe UI"/>
          <w:color w:val="0F1115"/>
          <w:sz w:val="24"/>
          <w:szCs w:val="24"/>
          <w:lang w:eastAsia="en-IN" w:bidi="mr-IN"/>
        </w:rPr>
        <w:t> – Nonspecific but often present in </w:t>
      </w:r>
      <w:r w:rsidRPr="00032282">
        <w:rPr>
          <w:rFonts w:ascii="Segoe UI" w:eastAsia="Times New Roman" w:hAnsi="Segoe UI" w:cs="Segoe UI"/>
          <w:b/>
          <w:bCs/>
          <w:color w:val="0F1115"/>
          <w:sz w:val="24"/>
          <w:szCs w:val="24"/>
          <w:lang w:eastAsia="en-IN" w:bidi="mr-IN"/>
        </w:rPr>
        <w:t>liver disease</w:t>
      </w:r>
      <w:r w:rsidRPr="00032282">
        <w:rPr>
          <w:rFonts w:ascii="Segoe UI" w:eastAsia="Times New Roman" w:hAnsi="Segoe UI" w:cs="Segoe UI"/>
          <w:color w:val="0F1115"/>
          <w:sz w:val="24"/>
          <w:szCs w:val="24"/>
          <w:lang w:eastAsia="en-IN" w:bidi="mr-IN"/>
        </w:rPr>
        <w:t> (right upper quadrant pain), </w:t>
      </w:r>
      <w:proofErr w:type="spellStart"/>
      <w:r w:rsidRPr="00032282">
        <w:rPr>
          <w:rFonts w:ascii="Segoe UI" w:eastAsia="Times New Roman" w:hAnsi="Segoe UI" w:cs="Segoe UI"/>
          <w:b/>
          <w:bCs/>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(cramping), and </w:t>
      </w:r>
      <w:r w:rsidRPr="00032282">
        <w:rPr>
          <w:rFonts w:ascii="Segoe UI" w:eastAsia="Times New Roman" w:hAnsi="Segoe UI" w:cs="Segoe UI"/>
          <w:b/>
          <w:bCs/>
          <w:color w:val="0F1115"/>
          <w:sz w:val="24"/>
          <w:szCs w:val="24"/>
          <w:lang w:eastAsia="en-IN" w:bidi="mr-IN"/>
        </w:rPr>
        <w:t>kidney stones</w:t>
      </w:r>
      <w:r w:rsidRPr="00032282">
        <w:rPr>
          <w:rFonts w:ascii="Segoe UI" w:eastAsia="Times New Roman" w:hAnsi="Segoe UI" w:cs="Segoe UI"/>
          <w:color w:val="0F1115"/>
          <w:sz w:val="24"/>
          <w:szCs w:val="24"/>
          <w:lang w:eastAsia="en-IN" w:bidi="mr-IN"/>
        </w:rPr>
        <w:t> (flank pain).</w:t>
      </w:r>
    </w:p>
    <w:p w14:paraId="5FE4607E" w14:textId="77777777" w:rsidR="00032282" w:rsidRPr="00032282" w:rsidRDefault="00032282" w:rsidP="00032282">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fatigue</w:t>
      </w:r>
      <w:r w:rsidRPr="00032282">
        <w:rPr>
          <w:rFonts w:ascii="Segoe UI" w:eastAsia="Times New Roman" w:hAnsi="Segoe UI" w:cs="Segoe UI"/>
          <w:color w:val="0F1115"/>
          <w:sz w:val="24"/>
          <w:szCs w:val="24"/>
          <w:lang w:eastAsia="en-IN" w:bidi="mr-IN"/>
        </w:rPr>
        <w:t> – Extremely common in chronic diseases: </w:t>
      </w:r>
      <w:r w:rsidRPr="00032282">
        <w:rPr>
          <w:rFonts w:ascii="Segoe UI" w:eastAsia="Times New Roman" w:hAnsi="Segoe UI" w:cs="Segoe UI"/>
          <w:b/>
          <w:bCs/>
          <w:color w:val="0F1115"/>
          <w:sz w:val="24"/>
          <w:szCs w:val="24"/>
          <w:lang w:eastAsia="en-IN" w:bidi="mr-IN"/>
        </w:rPr>
        <w:t>kidney disease</w:t>
      </w:r>
      <w:r w:rsidRPr="00032282">
        <w:rPr>
          <w:rFonts w:ascii="Segoe UI" w:eastAsia="Times New Roman" w:hAnsi="Segoe UI" w:cs="Segoe UI"/>
          <w:color w:val="0F1115"/>
          <w:sz w:val="24"/>
          <w:szCs w:val="24"/>
          <w:lang w:eastAsia="en-IN" w:bidi="mr-IN"/>
        </w:rPr>
        <w:t> (</w:t>
      </w:r>
      <w:proofErr w:type="spellStart"/>
      <w:r w:rsidRPr="00032282">
        <w:rPr>
          <w:rFonts w:ascii="Segoe UI" w:eastAsia="Times New Roman" w:hAnsi="Segoe UI" w:cs="Segoe UI"/>
          <w:color w:val="0F1115"/>
          <w:sz w:val="24"/>
          <w:szCs w:val="24"/>
          <w:lang w:eastAsia="en-IN" w:bidi="mr-IN"/>
        </w:rPr>
        <w:t>anemia</w:t>
      </w:r>
      <w:proofErr w:type="spellEnd"/>
      <w:r w:rsidRPr="00032282">
        <w:rPr>
          <w:rFonts w:ascii="Segoe UI" w:eastAsia="Times New Roman" w:hAnsi="Segoe UI" w:cs="Segoe UI"/>
          <w:color w:val="0F1115"/>
          <w:sz w:val="24"/>
          <w:szCs w:val="24"/>
          <w:lang w:eastAsia="en-IN" w:bidi="mr-IN"/>
        </w:rPr>
        <w:t xml:space="preserve">, </w:t>
      </w:r>
      <w:proofErr w:type="spellStart"/>
      <w:r w:rsidRPr="00032282">
        <w:rPr>
          <w:rFonts w:ascii="Segoe UI" w:eastAsia="Times New Roman" w:hAnsi="Segoe UI" w:cs="Segoe UI"/>
          <w:color w:val="0F1115"/>
          <w:sz w:val="24"/>
          <w:szCs w:val="24"/>
          <w:lang w:eastAsia="en-IN" w:bidi="mr-IN"/>
        </w:rPr>
        <w:t>uremia</w:t>
      </w:r>
      <w:proofErr w:type="spellEnd"/>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(metabolic stress), </w:t>
      </w:r>
      <w:r w:rsidRPr="00032282">
        <w:rPr>
          <w:rFonts w:ascii="Segoe UI" w:eastAsia="Times New Roman" w:hAnsi="Segoe UI" w:cs="Segoe UI"/>
          <w:b/>
          <w:bCs/>
          <w:color w:val="0F1115"/>
          <w:sz w:val="24"/>
          <w:szCs w:val="24"/>
          <w:lang w:eastAsia="en-IN" w:bidi="mr-IN"/>
        </w:rPr>
        <w:t>liver disease</w:t>
      </w:r>
      <w:r w:rsidRPr="00032282">
        <w:rPr>
          <w:rFonts w:ascii="Segoe UI" w:eastAsia="Times New Roman" w:hAnsi="Segoe UI" w:cs="Segoe UI"/>
          <w:color w:val="0F1115"/>
          <w:sz w:val="24"/>
          <w:szCs w:val="24"/>
          <w:lang w:eastAsia="en-IN" w:bidi="mr-IN"/>
        </w:rPr>
        <w:t> (toxin accumulation), and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(reduced cardiac output).</w:t>
      </w:r>
    </w:p>
    <w:p w14:paraId="5756AE6B" w14:textId="77777777" w:rsidR="00032282" w:rsidRPr="00032282" w:rsidRDefault="00032282" w:rsidP="00032282">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diarrhea_symptom</w:t>
      </w:r>
      <w:proofErr w:type="spellEnd"/>
      <w:r w:rsidRPr="00032282">
        <w:rPr>
          <w:rFonts w:ascii="Segoe UI" w:eastAsia="Times New Roman" w:hAnsi="Segoe UI" w:cs="Segoe UI"/>
          <w:color w:val="0F1115"/>
          <w:sz w:val="24"/>
          <w:szCs w:val="24"/>
          <w:lang w:eastAsia="en-IN" w:bidi="mr-IN"/>
        </w:rPr>
        <w:t> – The key feature for </w:t>
      </w:r>
      <w:proofErr w:type="spellStart"/>
      <w:r w:rsidRPr="00032282">
        <w:rPr>
          <w:rFonts w:ascii="Segoe UI" w:eastAsia="Times New Roman" w:hAnsi="Segoe UI" w:cs="Segoe UI"/>
          <w:b/>
          <w:bCs/>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as a primary diagnosis, especially when accompanied by fever and abdominal pain. Can also occur in other diseases (e.g., diabetic enteropathy) but here it flags acute gastrointestinal illness.</w:t>
      </w:r>
    </w:p>
    <w:p w14:paraId="336E273F" w14:textId="77777777" w:rsidR="00032282" w:rsidRPr="00032282" w:rsidRDefault="00032282" w:rsidP="00032282">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fever</w:t>
      </w:r>
      <w:r w:rsidRPr="00032282">
        <w:rPr>
          <w:rFonts w:ascii="Segoe UI" w:eastAsia="Times New Roman" w:hAnsi="Segoe UI" w:cs="Segoe UI"/>
          <w:color w:val="0F1115"/>
          <w:sz w:val="24"/>
          <w:szCs w:val="24"/>
          <w:lang w:eastAsia="en-IN" w:bidi="mr-IN"/>
        </w:rPr>
        <w:t> – Suggests an infectious or inflammatory process. Often present in </w:t>
      </w:r>
      <w:proofErr w:type="spellStart"/>
      <w:r w:rsidRPr="00032282">
        <w:rPr>
          <w:rFonts w:ascii="Segoe UI" w:eastAsia="Times New Roman" w:hAnsi="Segoe UI" w:cs="Segoe UI"/>
          <w:b/>
          <w:bCs/>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(gastroenteritis), but also in some acute liver or kidney infections.</w:t>
      </w:r>
    </w:p>
    <w:p w14:paraId="23E476B4" w14:textId="77777777" w:rsidR="00032282" w:rsidRPr="00032282" w:rsidRDefault="00032282" w:rsidP="00032282">
      <w:pPr>
        <w:spacing w:before="480" w:after="480" w:line="240" w:lineRule="auto"/>
        <w:rPr>
          <w:rFonts w:ascii="Times New Roman" w:eastAsia="Times New Roman" w:hAnsi="Times New Roman" w:cs="Times New Roman"/>
          <w:sz w:val="24"/>
          <w:szCs w:val="24"/>
          <w:lang w:eastAsia="en-IN" w:bidi="mr-IN"/>
        </w:rPr>
      </w:pPr>
      <w:r w:rsidRPr="00032282">
        <w:rPr>
          <w:rFonts w:ascii="Times New Roman" w:eastAsia="Times New Roman" w:hAnsi="Times New Roman" w:cs="Times New Roman"/>
          <w:sz w:val="24"/>
          <w:szCs w:val="24"/>
          <w:lang w:eastAsia="en-IN" w:bidi="mr-IN"/>
        </w:rPr>
        <w:pict w14:anchorId="03A76B61">
          <v:rect id="_x0000_i1046" style="width:0;height:.75pt" o:hralign="center" o:hrstd="t" o:hr="t" fillcolor="#a0a0a0" stroked="f"/>
        </w:pict>
      </w:r>
    </w:p>
    <w:p w14:paraId="0EAA9090" w14:textId="77777777" w:rsidR="00032282" w:rsidRPr="00032282" w:rsidRDefault="00032282" w:rsidP="00032282">
      <w:pPr>
        <w:shd w:val="clear" w:color="auto" w:fill="FFFFFF"/>
        <w:spacing w:before="480" w:after="240" w:line="480" w:lineRule="atLeast"/>
        <w:outlineLvl w:val="1"/>
        <w:rPr>
          <w:rFonts w:ascii="Segoe UI" w:eastAsia="Times New Roman" w:hAnsi="Segoe UI" w:cs="Segoe UI"/>
          <w:b/>
          <w:bCs/>
          <w:color w:val="0F1115"/>
          <w:sz w:val="33"/>
          <w:szCs w:val="33"/>
          <w:lang w:eastAsia="en-IN" w:bidi="mr-IN"/>
        </w:rPr>
      </w:pPr>
      <w:r w:rsidRPr="00032282">
        <w:rPr>
          <w:rFonts w:ascii="Segoe UI" w:eastAsia="Times New Roman" w:hAnsi="Segoe UI" w:cs="Segoe UI"/>
          <w:b/>
          <w:bCs/>
          <w:color w:val="0F1115"/>
          <w:sz w:val="33"/>
          <w:szCs w:val="33"/>
          <w:lang w:eastAsia="en-IN" w:bidi="mr-IN"/>
        </w:rPr>
        <w:t xml:space="preserve">9. Target Variable: </w:t>
      </w:r>
      <w:proofErr w:type="spellStart"/>
      <w:r w:rsidRPr="00032282">
        <w:rPr>
          <w:rFonts w:ascii="Segoe UI" w:eastAsia="Times New Roman" w:hAnsi="Segoe UI" w:cs="Segoe UI"/>
          <w:b/>
          <w:bCs/>
          <w:color w:val="0F1115"/>
          <w:sz w:val="33"/>
          <w:szCs w:val="33"/>
          <w:lang w:eastAsia="en-IN" w:bidi="mr-IN"/>
        </w:rPr>
        <w:t>disease_name</w:t>
      </w:r>
      <w:proofErr w:type="spellEnd"/>
    </w:p>
    <w:p w14:paraId="4078AE7E" w14:textId="77777777" w:rsidR="00032282" w:rsidRPr="00032282" w:rsidRDefault="00032282" w:rsidP="00032282">
      <w:pPr>
        <w:shd w:val="clear" w:color="auto" w:fill="FFFFFF"/>
        <w:spacing w:before="240" w:after="24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lastRenderedPageBreak/>
        <w:t>The dataset labels each patient with one of: </w:t>
      </w:r>
      <w:r w:rsidRPr="00032282">
        <w:rPr>
          <w:rFonts w:ascii="Segoe UI" w:eastAsia="Times New Roman" w:hAnsi="Segoe UI" w:cs="Segoe UI"/>
          <w:b/>
          <w:bCs/>
          <w:color w:val="0F1115"/>
          <w:sz w:val="24"/>
          <w:szCs w:val="24"/>
          <w:lang w:eastAsia="en-IN" w:bidi="mr-IN"/>
        </w:rPr>
        <w:t>Kidney Disease</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w:t>
      </w:r>
      <w:r w:rsidRPr="00032282">
        <w:rPr>
          <w:rFonts w:ascii="Segoe UI" w:eastAsia="Times New Roman" w:hAnsi="Segoe UI" w:cs="Segoe UI"/>
          <w:b/>
          <w:bCs/>
          <w:color w:val="0F1115"/>
          <w:sz w:val="24"/>
          <w:szCs w:val="24"/>
          <w:lang w:eastAsia="en-IN" w:bidi="mr-IN"/>
        </w:rPr>
        <w:t>Liver Disease</w:t>
      </w:r>
      <w:r w:rsidRPr="00032282">
        <w:rPr>
          <w:rFonts w:ascii="Segoe UI" w:eastAsia="Times New Roman" w:hAnsi="Segoe UI" w:cs="Segoe UI"/>
          <w:color w:val="0F1115"/>
          <w:sz w:val="24"/>
          <w:szCs w:val="24"/>
          <w:lang w:eastAsia="en-IN" w:bidi="mr-IN"/>
        </w:rPr>
        <w:t>, </w:t>
      </w:r>
      <w:proofErr w:type="spellStart"/>
      <w:r w:rsidRPr="00032282">
        <w:rPr>
          <w:rFonts w:ascii="Segoe UI" w:eastAsia="Times New Roman" w:hAnsi="Segoe UI" w:cs="Segoe UI"/>
          <w:b/>
          <w:bCs/>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or </w:t>
      </w:r>
      <w:r w:rsidRPr="00032282">
        <w:rPr>
          <w:rFonts w:ascii="Segoe UI" w:eastAsia="Times New Roman" w:hAnsi="Segoe UI" w:cs="Segoe UI"/>
          <w:b/>
          <w:bCs/>
          <w:color w:val="0F1115"/>
          <w:sz w:val="24"/>
          <w:szCs w:val="24"/>
          <w:lang w:eastAsia="en-IN" w:bidi="mr-IN"/>
        </w:rPr>
        <w:t>Healthy</w:t>
      </w:r>
      <w:r w:rsidRPr="00032282">
        <w:rPr>
          <w:rFonts w:ascii="Segoe UI" w:eastAsia="Times New Roman" w:hAnsi="Segoe UI" w:cs="Segoe UI"/>
          <w:color w:val="0F1115"/>
          <w:sz w:val="24"/>
          <w:szCs w:val="24"/>
          <w:lang w:eastAsia="en-IN" w:bidi="mr-IN"/>
        </w:rPr>
        <w:t>.</w:t>
      </w:r>
    </w:p>
    <w:p w14:paraId="70CAEADE"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How the features work together to decide the disease:</w:t>
      </w:r>
    </w:p>
    <w:p w14:paraId="33A13159" w14:textId="77777777" w:rsidR="00032282" w:rsidRPr="00032282" w:rsidRDefault="00032282" w:rsidP="00032282">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Kidney Disease</w:t>
      </w:r>
      <w:r w:rsidRPr="00032282">
        <w:rPr>
          <w:rFonts w:ascii="Segoe UI" w:eastAsia="Times New Roman" w:hAnsi="Segoe UI" w:cs="Segoe UI"/>
          <w:color w:val="0F1115"/>
          <w:sz w:val="24"/>
          <w:szCs w:val="24"/>
          <w:lang w:eastAsia="en-IN" w:bidi="mr-IN"/>
        </w:rPr>
        <w:t xml:space="preserve"> → Elevated creatinine, often high blood pressure, possibly low </w:t>
      </w:r>
      <w:proofErr w:type="spellStart"/>
      <w:r w:rsidRPr="00032282">
        <w:rPr>
          <w:rFonts w:ascii="Segoe UI" w:eastAsia="Times New Roman" w:hAnsi="Segoe UI" w:cs="Segoe UI"/>
          <w:color w:val="0F1115"/>
          <w:sz w:val="24"/>
          <w:szCs w:val="24"/>
          <w:lang w:eastAsia="en-IN" w:bidi="mr-IN"/>
        </w:rPr>
        <w:t>hemoglobin</w:t>
      </w:r>
      <w:proofErr w:type="spellEnd"/>
      <w:r w:rsidRPr="00032282">
        <w:rPr>
          <w:rFonts w:ascii="Segoe UI" w:eastAsia="Times New Roman" w:hAnsi="Segoe UI" w:cs="Segoe UI"/>
          <w:color w:val="0F1115"/>
          <w:sz w:val="24"/>
          <w:szCs w:val="24"/>
          <w:lang w:eastAsia="en-IN" w:bidi="mr-IN"/>
        </w:rPr>
        <w:t xml:space="preserve"> (not directly in dataset but implied by fatigue), and sometimes abnormal fasting glucose (if diabetic nephropathy). Creatinine is the most specific.</w:t>
      </w:r>
    </w:p>
    <w:p w14:paraId="49EEEFFC" w14:textId="77777777" w:rsidR="00032282" w:rsidRPr="00032282" w:rsidRDefault="00032282" w:rsidP="00032282">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Heart Disease</w:t>
      </w:r>
      <w:r w:rsidRPr="00032282">
        <w:rPr>
          <w:rFonts w:ascii="Segoe UI" w:eastAsia="Times New Roman" w:hAnsi="Segoe UI" w:cs="Segoe UI"/>
          <w:color w:val="0F1115"/>
          <w:sz w:val="24"/>
          <w:szCs w:val="24"/>
          <w:lang w:eastAsia="en-IN" w:bidi="mr-IN"/>
        </w:rPr>
        <w:t> → Chest pain, shortness of breath, abnormal lipid profile (high LDL, low HDL), high blood pressure, possibly high BMI. Smoking and low physical activity increase risk.</w:t>
      </w:r>
    </w:p>
    <w:p w14:paraId="6E79696A" w14:textId="77777777" w:rsidR="00032282" w:rsidRPr="00032282" w:rsidRDefault="00032282" w:rsidP="00032282">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Diabetes</w:t>
      </w:r>
      <w:r w:rsidRPr="00032282">
        <w:rPr>
          <w:rFonts w:ascii="Segoe UI" w:eastAsia="Times New Roman" w:hAnsi="Segoe UI" w:cs="Segoe UI"/>
          <w:color w:val="0F1115"/>
          <w:sz w:val="24"/>
          <w:szCs w:val="24"/>
          <w:lang w:eastAsia="en-IN" w:bidi="mr-IN"/>
        </w:rPr>
        <w:t> → High fasting blood sugar and high HbA1c are definitive. Frequent urination is a key symptom. Often associated with high BMI and sometimes abnormal lipids.</w:t>
      </w:r>
    </w:p>
    <w:p w14:paraId="42CE03AA" w14:textId="77777777" w:rsidR="00032282" w:rsidRPr="00032282" w:rsidRDefault="00032282" w:rsidP="00032282">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Liver Disease</w:t>
      </w:r>
      <w:r w:rsidRPr="00032282">
        <w:rPr>
          <w:rFonts w:ascii="Segoe UI" w:eastAsia="Times New Roman" w:hAnsi="Segoe UI" w:cs="Segoe UI"/>
          <w:color w:val="0F1115"/>
          <w:sz w:val="24"/>
          <w:szCs w:val="24"/>
          <w:lang w:eastAsia="en-IN" w:bidi="mr-IN"/>
        </w:rPr>
        <w:t> → Elevated ALT, possibly abnormal cholesterol, abdominal pain, fatigue. May have low physical activity or high stress, but ALT is the primary marker.</w:t>
      </w:r>
    </w:p>
    <w:p w14:paraId="746F69D8" w14:textId="77777777" w:rsidR="00032282" w:rsidRPr="00032282" w:rsidRDefault="00032282" w:rsidP="00032282">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proofErr w:type="spellStart"/>
      <w:r w:rsidRPr="00032282">
        <w:rPr>
          <w:rFonts w:ascii="Segoe UI" w:eastAsia="Times New Roman" w:hAnsi="Segoe UI" w:cs="Segoe UI"/>
          <w:b/>
          <w:bCs/>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 xml:space="preserve"> → </w:t>
      </w:r>
      <w:proofErr w:type="spellStart"/>
      <w:r w:rsidRPr="00032282">
        <w:rPr>
          <w:rFonts w:ascii="Segoe UI" w:eastAsia="Times New Roman" w:hAnsi="Segoe UI" w:cs="Segoe UI"/>
          <w:color w:val="0F1115"/>
          <w:sz w:val="24"/>
          <w:szCs w:val="24"/>
          <w:lang w:eastAsia="en-IN" w:bidi="mr-IN"/>
        </w:rPr>
        <w:t>Diarrhea_symptom</w:t>
      </w:r>
      <w:proofErr w:type="spellEnd"/>
      <w:r w:rsidRPr="00032282">
        <w:rPr>
          <w:rFonts w:ascii="Segoe UI" w:eastAsia="Times New Roman" w:hAnsi="Segoe UI" w:cs="Segoe UI"/>
          <w:color w:val="0F1115"/>
          <w:sz w:val="24"/>
          <w:szCs w:val="24"/>
          <w:lang w:eastAsia="en-IN" w:bidi="mr-IN"/>
        </w:rPr>
        <w:t xml:space="preserve"> = 1, often with fever and abdominal pain. Other markers (creatinine, ALT, glucose) are typically normal unless there is dehydration (slightly elevated creatinine) or underlying chronic disease.</w:t>
      </w:r>
    </w:p>
    <w:p w14:paraId="713C828B" w14:textId="77777777" w:rsidR="00032282" w:rsidRPr="00032282" w:rsidRDefault="00032282" w:rsidP="00032282">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b/>
          <w:bCs/>
          <w:color w:val="0F1115"/>
          <w:sz w:val="24"/>
          <w:szCs w:val="24"/>
          <w:lang w:eastAsia="en-IN" w:bidi="mr-IN"/>
        </w:rPr>
        <w:t>Healthy</w:t>
      </w:r>
      <w:r w:rsidRPr="00032282">
        <w:rPr>
          <w:rFonts w:ascii="Segoe UI" w:eastAsia="Times New Roman" w:hAnsi="Segoe UI" w:cs="Segoe UI"/>
          <w:color w:val="0F1115"/>
          <w:sz w:val="24"/>
          <w:szCs w:val="24"/>
          <w:lang w:eastAsia="en-IN" w:bidi="mr-IN"/>
        </w:rPr>
        <w:t xml:space="preserve"> – All biomarkers within normal ranges, no major symptoms, and lifestyle factors moderate </w:t>
      </w:r>
      <w:proofErr w:type="gramStart"/>
      <w:r w:rsidRPr="00032282">
        <w:rPr>
          <w:rFonts w:ascii="Segoe UI" w:eastAsia="Times New Roman" w:hAnsi="Segoe UI" w:cs="Segoe UI"/>
          <w:color w:val="0F1115"/>
          <w:sz w:val="24"/>
          <w:szCs w:val="24"/>
          <w:lang w:eastAsia="en-IN" w:bidi="mr-IN"/>
        </w:rPr>
        <w:t>to</w:t>
      </w:r>
      <w:proofErr w:type="gramEnd"/>
      <w:r w:rsidRPr="00032282">
        <w:rPr>
          <w:rFonts w:ascii="Segoe UI" w:eastAsia="Times New Roman" w:hAnsi="Segoe UI" w:cs="Segoe UI"/>
          <w:color w:val="0F1115"/>
          <w:sz w:val="24"/>
          <w:szCs w:val="24"/>
          <w:lang w:eastAsia="en-IN" w:bidi="mr-IN"/>
        </w:rPr>
        <w:t xml:space="preserve"> good.</w:t>
      </w:r>
    </w:p>
    <w:p w14:paraId="39691119" w14:textId="77777777" w:rsidR="00032282" w:rsidRPr="00032282" w:rsidRDefault="00032282" w:rsidP="00032282">
      <w:pPr>
        <w:shd w:val="clear" w:color="auto" w:fill="FFFFFF"/>
        <w:spacing w:before="480" w:after="240" w:line="450" w:lineRule="atLeast"/>
        <w:outlineLvl w:val="2"/>
        <w:rPr>
          <w:rFonts w:ascii="Segoe UI" w:eastAsia="Times New Roman" w:hAnsi="Segoe UI" w:cs="Segoe UI"/>
          <w:b/>
          <w:bCs/>
          <w:color w:val="0F1115"/>
          <w:sz w:val="30"/>
          <w:szCs w:val="30"/>
          <w:lang w:eastAsia="en-IN" w:bidi="mr-IN"/>
        </w:rPr>
      </w:pPr>
      <w:r w:rsidRPr="00032282">
        <w:rPr>
          <w:rFonts w:ascii="Segoe UI" w:eastAsia="Times New Roman" w:hAnsi="Segoe UI" w:cs="Segoe UI"/>
          <w:b/>
          <w:bCs/>
          <w:color w:val="0F1115"/>
          <w:sz w:val="30"/>
          <w:szCs w:val="30"/>
          <w:lang w:eastAsia="en-IN" w:bidi="mr-IN"/>
        </w:rPr>
        <w:t>Example patterns from the data:</w:t>
      </w:r>
    </w:p>
    <w:p w14:paraId="0EC1B6A4" w14:textId="77777777" w:rsidR="00032282" w:rsidRPr="00032282" w:rsidRDefault="00032282" w:rsidP="00032282">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A patient with </w:t>
      </w:r>
      <w:r w:rsidRPr="00032282">
        <w:rPr>
          <w:rFonts w:ascii="Consolas" w:eastAsia="Times New Roman" w:hAnsi="Consolas" w:cs="Courier New"/>
          <w:color w:val="0F1115"/>
          <w:sz w:val="20"/>
          <w:szCs w:val="20"/>
          <w:shd w:val="clear" w:color="auto" w:fill="EBEEF2"/>
          <w:lang w:eastAsia="en-IN" w:bidi="mr-IN"/>
        </w:rPr>
        <w:t>creatinine=1.9</w:t>
      </w:r>
      <w:r w:rsidRPr="00032282">
        <w:rPr>
          <w:rFonts w:ascii="Segoe UI" w:eastAsia="Times New Roman" w:hAnsi="Segoe UI" w:cs="Segoe UI"/>
          <w:color w:val="0F1115"/>
          <w:sz w:val="24"/>
          <w:szCs w:val="24"/>
          <w:lang w:eastAsia="en-IN" w:bidi="mr-IN"/>
        </w:rPr>
        <w:t>, </w:t>
      </w:r>
      <w:r w:rsidRPr="00032282">
        <w:rPr>
          <w:rFonts w:ascii="Consolas" w:eastAsia="Times New Roman" w:hAnsi="Consolas" w:cs="Courier New"/>
          <w:color w:val="0F1115"/>
          <w:sz w:val="20"/>
          <w:szCs w:val="20"/>
          <w:shd w:val="clear" w:color="auto" w:fill="EBEEF2"/>
          <w:lang w:eastAsia="en-IN" w:bidi="mr-IN"/>
        </w:rPr>
        <w:t>systolic_bp=150</w:t>
      </w:r>
      <w:r w:rsidRPr="00032282">
        <w:rPr>
          <w:rFonts w:ascii="Segoe UI" w:eastAsia="Times New Roman" w:hAnsi="Segoe UI" w:cs="Segoe UI"/>
          <w:color w:val="0F1115"/>
          <w:sz w:val="24"/>
          <w:szCs w:val="24"/>
          <w:lang w:eastAsia="en-IN" w:bidi="mr-IN"/>
        </w:rPr>
        <w:t>, </w:t>
      </w:r>
      <w:r w:rsidRPr="00032282">
        <w:rPr>
          <w:rFonts w:ascii="Consolas" w:eastAsia="Times New Roman" w:hAnsi="Consolas" w:cs="Courier New"/>
          <w:color w:val="0F1115"/>
          <w:sz w:val="20"/>
          <w:szCs w:val="20"/>
          <w:shd w:val="clear" w:color="auto" w:fill="EBEEF2"/>
          <w:lang w:eastAsia="en-IN" w:bidi="mr-IN"/>
        </w:rPr>
        <w:t>fatigue=1</w:t>
      </w:r>
      <w:r w:rsidRPr="00032282">
        <w:rPr>
          <w:rFonts w:ascii="Segoe UI" w:eastAsia="Times New Roman" w:hAnsi="Segoe UI" w:cs="Segoe UI"/>
          <w:color w:val="0F1115"/>
          <w:sz w:val="24"/>
          <w:szCs w:val="24"/>
          <w:lang w:eastAsia="en-IN" w:bidi="mr-IN"/>
        </w:rPr>
        <w:t>, </w:t>
      </w:r>
      <w:r w:rsidRPr="00032282">
        <w:rPr>
          <w:rFonts w:ascii="Consolas" w:eastAsia="Times New Roman" w:hAnsi="Consolas" w:cs="Courier New"/>
          <w:color w:val="0F1115"/>
          <w:sz w:val="20"/>
          <w:szCs w:val="20"/>
          <w:shd w:val="clear" w:color="auto" w:fill="EBEEF2"/>
          <w:lang w:eastAsia="en-IN" w:bidi="mr-IN"/>
        </w:rPr>
        <w:t>shortness_of_breath=0</w:t>
      </w:r>
      <w:r w:rsidRPr="00032282">
        <w:rPr>
          <w:rFonts w:ascii="Segoe UI" w:eastAsia="Times New Roman" w:hAnsi="Segoe UI" w:cs="Segoe UI"/>
          <w:color w:val="0F1115"/>
          <w:sz w:val="24"/>
          <w:szCs w:val="24"/>
          <w:lang w:eastAsia="en-IN" w:bidi="mr-IN"/>
        </w:rPr>
        <w:t xml:space="preserve"> → </w:t>
      </w:r>
      <w:proofErr w:type="gramStart"/>
      <w:r w:rsidRPr="00032282">
        <w:rPr>
          <w:rFonts w:ascii="Segoe UI" w:eastAsia="Times New Roman" w:hAnsi="Segoe UI" w:cs="Segoe UI"/>
          <w:color w:val="0F1115"/>
          <w:sz w:val="24"/>
          <w:szCs w:val="24"/>
          <w:lang w:eastAsia="en-IN" w:bidi="mr-IN"/>
        </w:rPr>
        <w:t>Kidney Disease</w:t>
      </w:r>
      <w:proofErr w:type="gramEnd"/>
      <w:r w:rsidRPr="00032282">
        <w:rPr>
          <w:rFonts w:ascii="Segoe UI" w:eastAsia="Times New Roman" w:hAnsi="Segoe UI" w:cs="Segoe UI"/>
          <w:color w:val="0F1115"/>
          <w:sz w:val="24"/>
          <w:szCs w:val="24"/>
          <w:lang w:eastAsia="en-IN" w:bidi="mr-IN"/>
        </w:rPr>
        <w:t>.</w:t>
      </w:r>
    </w:p>
    <w:p w14:paraId="38885ACA" w14:textId="77777777" w:rsidR="00032282" w:rsidRPr="00032282" w:rsidRDefault="00032282" w:rsidP="00032282">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A patient with </w:t>
      </w:r>
      <w:proofErr w:type="spellStart"/>
      <w:r w:rsidRPr="00032282">
        <w:rPr>
          <w:rFonts w:ascii="Consolas" w:eastAsia="Times New Roman" w:hAnsi="Consolas" w:cs="Courier New"/>
          <w:color w:val="0F1115"/>
          <w:sz w:val="20"/>
          <w:szCs w:val="20"/>
          <w:shd w:val="clear" w:color="auto" w:fill="EBEEF2"/>
          <w:lang w:eastAsia="en-IN" w:bidi="mr-IN"/>
        </w:rPr>
        <w:t>chest_pain</w:t>
      </w:r>
      <w:proofErr w:type="spellEnd"/>
      <w:r w:rsidRPr="00032282">
        <w:rPr>
          <w:rFonts w:ascii="Consolas" w:eastAsia="Times New Roman" w:hAnsi="Consolas" w:cs="Courier New"/>
          <w:color w:val="0F1115"/>
          <w:sz w:val="20"/>
          <w:szCs w:val="20"/>
          <w:shd w:val="clear" w:color="auto" w:fill="EBEEF2"/>
          <w:lang w:eastAsia="en-IN" w:bidi="mr-IN"/>
        </w:rPr>
        <w:t>=1</w:t>
      </w:r>
      <w:r w:rsidRPr="00032282">
        <w:rPr>
          <w:rFonts w:ascii="Segoe UI" w:eastAsia="Times New Roman" w:hAnsi="Segoe UI" w:cs="Segoe UI"/>
          <w:color w:val="0F1115"/>
          <w:sz w:val="24"/>
          <w:szCs w:val="24"/>
          <w:lang w:eastAsia="en-IN" w:bidi="mr-IN"/>
        </w:rPr>
        <w:t>, </w:t>
      </w:r>
      <w:proofErr w:type="spellStart"/>
      <w:r w:rsidRPr="00032282">
        <w:rPr>
          <w:rFonts w:ascii="Consolas" w:eastAsia="Times New Roman" w:hAnsi="Consolas" w:cs="Courier New"/>
          <w:color w:val="0F1115"/>
          <w:sz w:val="20"/>
          <w:szCs w:val="20"/>
          <w:shd w:val="clear" w:color="auto" w:fill="EBEEF2"/>
          <w:lang w:eastAsia="en-IN" w:bidi="mr-IN"/>
        </w:rPr>
        <w:t>ldl</w:t>
      </w:r>
      <w:proofErr w:type="spellEnd"/>
      <w:r w:rsidRPr="00032282">
        <w:rPr>
          <w:rFonts w:ascii="Consolas" w:eastAsia="Times New Roman" w:hAnsi="Consolas" w:cs="Courier New"/>
          <w:color w:val="0F1115"/>
          <w:sz w:val="20"/>
          <w:szCs w:val="20"/>
          <w:shd w:val="clear" w:color="auto" w:fill="EBEEF2"/>
          <w:lang w:eastAsia="en-IN" w:bidi="mr-IN"/>
        </w:rPr>
        <w:t>=180</w:t>
      </w:r>
      <w:r w:rsidRPr="00032282">
        <w:rPr>
          <w:rFonts w:ascii="Segoe UI" w:eastAsia="Times New Roman" w:hAnsi="Segoe UI" w:cs="Segoe UI"/>
          <w:color w:val="0F1115"/>
          <w:sz w:val="24"/>
          <w:szCs w:val="24"/>
          <w:lang w:eastAsia="en-IN" w:bidi="mr-IN"/>
        </w:rPr>
        <w:t>, </w:t>
      </w:r>
      <w:proofErr w:type="spellStart"/>
      <w:r w:rsidRPr="00032282">
        <w:rPr>
          <w:rFonts w:ascii="Consolas" w:eastAsia="Times New Roman" w:hAnsi="Consolas" w:cs="Courier New"/>
          <w:color w:val="0F1115"/>
          <w:sz w:val="20"/>
          <w:szCs w:val="20"/>
          <w:shd w:val="clear" w:color="auto" w:fill="EBEEF2"/>
          <w:lang w:eastAsia="en-IN" w:bidi="mr-IN"/>
        </w:rPr>
        <w:t>hdl</w:t>
      </w:r>
      <w:proofErr w:type="spellEnd"/>
      <w:r w:rsidRPr="00032282">
        <w:rPr>
          <w:rFonts w:ascii="Consolas" w:eastAsia="Times New Roman" w:hAnsi="Consolas" w:cs="Courier New"/>
          <w:color w:val="0F1115"/>
          <w:sz w:val="20"/>
          <w:szCs w:val="20"/>
          <w:shd w:val="clear" w:color="auto" w:fill="EBEEF2"/>
          <w:lang w:eastAsia="en-IN" w:bidi="mr-IN"/>
        </w:rPr>
        <w:t>=35</w:t>
      </w:r>
      <w:r w:rsidRPr="00032282">
        <w:rPr>
          <w:rFonts w:ascii="Segoe UI" w:eastAsia="Times New Roman" w:hAnsi="Segoe UI" w:cs="Segoe UI"/>
          <w:color w:val="0F1115"/>
          <w:sz w:val="24"/>
          <w:szCs w:val="24"/>
          <w:lang w:eastAsia="en-IN" w:bidi="mr-IN"/>
        </w:rPr>
        <w:t>, </w:t>
      </w:r>
      <w:r w:rsidRPr="00032282">
        <w:rPr>
          <w:rFonts w:ascii="Consolas" w:eastAsia="Times New Roman" w:hAnsi="Consolas" w:cs="Courier New"/>
          <w:color w:val="0F1115"/>
          <w:sz w:val="20"/>
          <w:szCs w:val="20"/>
          <w:shd w:val="clear" w:color="auto" w:fill="EBEEF2"/>
          <w:lang w:eastAsia="en-IN" w:bidi="mr-IN"/>
        </w:rPr>
        <w:t>smoking=1</w:t>
      </w:r>
      <w:r w:rsidRPr="00032282">
        <w:rPr>
          <w:rFonts w:ascii="Segoe UI" w:eastAsia="Times New Roman" w:hAnsi="Segoe UI" w:cs="Segoe UI"/>
          <w:color w:val="0F1115"/>
          <w:sz w:val="24"/>
          <w:szCs w:val="24"/>
          <w:lang w:eastAsia="en-IN" w:bidi="mr-IN"/>
        </w:rPr>
        <w:t xml:space="preserve"> → </w:t>
      </w:r>
      <w:proofErr w:type="gramStart"/>
      <w:r w:rsidRPr="00032282">
        <w:rPr>
          <w:rFonts w:ascii="Segoe UI" w:eastAsia="Times New Roman" w:hAnsi="Segoe UI" w:cs="Segoe UI"/>
          <w:color w:val="0F1115"/>
          <w:sz w:val="24"/>
          <w:szCs w:val="24"/>
          <w:lang w:eastAsia="en-IN" w:bidi="mr-IN"/>
        </w:rPr>
        <w:t>Heart Disease</w:t>
      </w:r>
      <w:proofErr w:type="gramEnd"/>
      <w:r w:rsidRPr="00032282">
        <w:rPr>
          <w:rFonts w:ascii="Segoe UI" w:eastAsia="Times New Roman" w:hAnsi="Segoe UI" w:cs="Segoe UI"/>
          <w:color w:val="0F1115"/>
          <w:sz w:val="24"/>
          <w:szCs w:val="24"/>
          <w:lang w:eastAsia="en-IN" w:bidi="mr-IN"/>
        </w:rPr>
        <w:t>.</w:t>
      </w:r>
    </w:p>
    <w:p w14:paraId="620FCD79" w14:textId="77777777" w:rsidR="00032282" w:rsidRPr="00032282" w:rsidRDefault="00032282" w:rsidP="00032282">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A patient with </w:t>
      </w:r>
      <w:proofErr w:type="spellStart"/>
      <w:r w:rsidRPr="00032282">
        <w:rPr>
          <w:rFonts w:ascii="Consolas" w:eastAsia="Times New Roman" w:hAnsi="Consolas" w:cs="Courier New"/>
          <w:color w:val="0F1115"/>
          <w:sz w:val="20"/>
          <w:szCs w:val="20"/>
          <w:shd w:val="clear" w:color="auto" w:fill="EBEEF2"/>
          <w:lang w:eastAsia="en-IN" w:bidi="mr-IN"/>
        </w:rPr>
        <w:t>fasting_blood_sugar</w:t>
      </w:r>
      <w:proofErr w:type="spellEnd"/>
      <w:r w:rsidRPr="00032282">
        <w:rPr>
          <w:rFonts w:ascii="Consolas" w:eastAsia="Times New Roman" w:hAnsi="Consolas" w:cs="Courier New"/>
          <w:color w:val="0F1115"/>
          <w:sz w:val="20"/>
          <w:szCs w:val="20"/>
          <w:shd w:val="clear" w:color="auto" w:fill="EBEEF2"/>
          <w:lang w:eastAsia="en-IN" w:bidi="mr-IN"/>
        </w:rPr>
        <w:t>=180</w:t>
      </w:r>
      <w:r w:rsidRPr="00032282">
        <w:rPr>
          <w:rFonts w:ascii="Segoe UI" w:eastAsia="Times New Roman" w:hAnsi="Segoe UI" w:cs="Segoe UI"/>
          <w:color w:val="0F1115"/>
          <w:sz w:val="24"/>
          <w:szCs w:val="24"/>
          <w:lang w:eastAsia="en-IN" w:bidi="mr-IN"/>
        </w:rPr>
        <w:t>, </w:t>
      </w:r>
      <w:r w:rsidRPr="00032282">
        <w:rPr>
          <w:rFonts w:ascii="Consolas" w:eastAsia="Times New Roman" w:hAnsi="Consolas" w:cs="Courier New"/>
          <w:color w:val="0F1115"/>
          <w:sz w:val="20"/>
          <w:szCs w:val="20"/>
          <w:shd w:val="clear" w:color="auto" w:fill="EBEEF2"/>
          <w:lang w:eastAsia="en-IN" w:bidi="mr-IN"/>
        </w:rPr>
        <w:t>hba1c=9.5</w:t>
      </w:r>
      <w:r w:rsidRPr="00032282">
        <w:rPr>
          <w:rFonts w:ascii="Segoe UI" w:eastAsia="Times New Roman" w:hAnsi="Segoe UI" w:cs="Segoe UI"/>
          <w:color w:val="0F1115"/>
          <w:sz w:val="24"/>
          <w:szCs w:val="24"/>
          <w:lang w:eastAsia="en-IN" w:bidi="mr-IN"/>
        </w:rPr>
        <w:t>, </w:t>
      </w:r>
      <w:proofErr w:type="spellStart"/>
      <w:r w:rsidRPr="00032282">
        <w:rPr>
          <w:rFonts w:ascii="Consolas" w:eastAsia="Times New Roman" w:hAnsi="Consolas" w:cs="Courier New"/>
          <w:color w:val="0F1115"/>
          <w:sz w:val="20"/>
          <w:szCs w:val="20"/>
          <w:shd w:val="clear" w:color="auto" w:fill="EBEEF2"/>
          <w:lang w:eastAsia="en-IN" w:bidi="mr-IN"/>
        </w:rPr>
        <w:t>frequent_urination</w:t>
      </w:r>
      <w:proofErr w:type="spellEnd"/>
      <w:r w:rsidRPr="00032282">
        <w:rPr>
          <w:rFonts w:ascii="Consolas" w:eastAsia="Times New Roman" w:hAnsi="Consolas" w:cs="Courier New"/>
          <w:color w:val="0F1115"/>
          <w:sz w:val="20"/>
          <w:szCs w:val="20"/>
          <w:shd w:val="clear" w:color="auto" w:fill="EBEEF2"/>
          <w:lang w:eastAsia="en-IN" w:bidi="mr-IN"/>
        </w:rPr>
        <w:t>=1</w:t>
      </w:r>
      <w:r w:rsidRPr="00032282">
        <w:rPr>
          <w:rFonts w:ascii="Segoe UI" w:eastAsia="Times New Roman" w:hAnsi="Segoe UI" w:cs="Segoe UI"/>
          <w:color w:val="0F1115"/>
          <w:sz w:val="24"/>
          <w:szCs w:val="24"/>
          <w:lang w:eastAsia="en-IN" w:bidi="mr-IN"/>
        </w:rPr>
        <w:t> → Diabetes.</w:t>
      </w:r>
    </w:p>
    <w:p w14:paraId="134A8FD9" w14:textId="77777777" w:rsidR="00032282" w:rsidRPr="00032282" w:rsidRDefault="00032282" w:rsidP="00032282">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A patient with </w:t>
      </w:r>
      <w:proofErr w:type="spellStart"/>
      <w:r w:rsidRPr="00032282">
        <w:rPr>
          <w:rFonts w:ascii="Consolas" w:eastAsia="Times New Roman" w:hAnsi="Consolas" w:cs="Courier New"/>
          <w:color w:val="0F1115"/>
          <w:sz w:val="20"/>
          <w:szCs w:val="20"/>
          <w:shd w:val="clear" w:color="auto" w:fill="EBEEF2"/>
          <w:lang w:eastAsia="en-IN" w:bidi="mr-IN"/>
        </w:rPr>
        <w:t>alt_sgpt</w:t>
      </w:r>
      <w:proofErr w:type="spellEnd"/>
      <w:r w:rsidRPr="00032282">
        <w:rPr>
          <w:rFonts w:ascii="Consolas" w:eastAsia="Times New Roman" w:hAnsi="Consolas" w:cs="Courier New"/>
          <w:color w:val="0F1115"/>
          <w:sz w:val="20"/>
          <w:szCs w:val="20"/>
          <w:shd w:val="clear" w:color="auto" w:fill="EBEEF2"/>
          <w:lang w:eastAsia="en-IN" w:bidi="mr-IN"/>
        </w:rPr>
        <w:t>=85</w:t>
      </w:r>
      <w:r w:rsidRPr="00032282">
        <w:rPr>
          <w:rFonts w:ascii="Segoe UI" w:eastAsia="Times New Roman" w:hAnsi="Segoe UI" w:cs="Segoe UI"/>
          <w:color w:val="0F1115"/>
          <w:sz w:val="24"/>
          <w:szCs w:val="24"/>
          <w:lang w:eastAsia="en-IN" w:bidi="mr-IN"/>
        </w:rPr>
        <w:t>, </w:t>
      </w:r>
      <w:proofErr w:type="spellStart"/>
      <w:r w:rsidRPr="00032282">
        <w:rPr>
          <w:rFonts w:ascii="Consolas" w:eastAsia="Times New Roman" w:hAnsi="Consolas" w:cs="Courier New"/>
          <w:color w:val="0F1115"/>
          <w:sz w:val="20"/>
          <w:szCs w:val="20"/>
          <w:shd w:val="clear" w:color="auto" w:fill="EBEEF2"/>
          <w:lang w:eastAsia="en-IN" w:bidi="mr-IN"/>
        </w:rPr>
        <w:t>abdominal_pain</w:t>
      </w:r>
      <w:proofErr w:type="spellEnd"/>
      <w:r w:rsidRPr="00032282">
        <w:rPr>
          <w:rFonts w:ascii="Consolas" w:eastAsia="Times New Roman" w:hAnsi="Consolas" w:cs="Courier New"/>
          <w:color w:val="0F1115"/>
          <w:sz w:val="20"/>
          <w:szCs w:val="20"/>
          <w:shd w:val="clear" w:color="auto" w:fill="EBEEF2"/>
          <w:lang w:eastAsia="en-IN" w:bidi="mr-IN"/>
        </w:rPr>
        <w:t>=1</w:t>
      </w:r>
      <w:r w:rsidRPr="00032282">
        <w:rPr>
          <w:rFonts w:ascii="Segoe UI" w:eastAsia="Times New Roman" w:hAnsi="Segoe UI" w:cs="Segoe UI"/>
          <w:color w:val="0F1115"/>
          <w:sz w:val="24"/>
          <w:szCs w:val="24"/>
          <w:lang w:eastAsia="en-IN" w:bidi="mr-IN"/>
        </w:rPr>
        <w:t>, </w:t>
      </w:r>
      <w:r w:rsidRPr="00032282">
        <w:rPr>
          <w:rFonts w:ascii="Consolas" w:eastAsia="Times New Roman" w:hAnsi="Consolas" w:cs="Courier New"/>
          <w:color w:val="0F1115"/>
          <w:sz w:val="20"/>
          <w:szCs w:val="20"/>
          <w:shd w:val="clear" w:color="auto" w:fill="EBEEF2"/>
          <w:lang w:eastAsia="en-IN" w:bidi="mr-IN"/>
        </w:rPr>
        <w:t>fatigue=1</w:t>
      </w:r>
      <w:r w:rsidRPr="00032282">
        <w:rPr>
          <w:rFonts w:ascii="Segoe UI" w:eastAsia="Times New Roman" w:hAnsi="Segoe UI" w:cs="Segoe UI"/>
          <w:color w:val="0F1115"/>
          <w:sz w:val="24"/>
          <w:szCs w:val="24"/>
          <w:lang w:eastAsia="en-IN" w:bidi="mr-IN"/>
        </w:rPr>
        <w:t> → Liver Disease.</w:t>
      </w:r>
    </w:p>
    <w:p w14:paraId="2E7D3919" w14:textId="77777777" w:rsidR="00032282" w:rsidRPr="00032282" w:rsidRDefault="00032282" w:rsidP="00032282">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A patient with </w:t>
      </w:r>
      <w:proofErr w:type="spellStart"/>
      <w:r w:rsidRPr="00032282">
        <w:rPr>
          <w:rFonts w:ascii="Consolas" w:eastAsia="Times New Roman" w:hAnsi="Consolas" w:cs="Courier New"/>
          <w:color w:val="0F1115"/>
          <w:sz w:val="20"/>
          <w:szCs w:val="20"/>
          <w:shd w:val="clear" w:color="auto" w:fill="EBEEF2"/>
          <w:lang w:eastAsia="en-IN" w:bidi="mr-IN"/>
        </w:rPr>
        <w:t>diarrhea_symptom</w:t>
      </w:r>
      <w:proofErr w:type="spellEnd"/>
      <w:r w:rsidRPr="00032282">
        <w:rPr>
          <w:rFonts w:ascii="Consolas" w:eastAsia="Times New Roman" w:hAnsi="Consolas" w:cs="Courier New"/>
          <w:color w:val="0F1115"/>
          <w:sz w:val="20"/>
          <w:szCs w:val="20"/>
          <w:shd w:val="clear" w:color="auto" w:fill="EBEEF2"/>
          <w:lang w:eastAsia="en-IN" w:bidi="mr-IN"/>
        </w:rPr>
        <w:t>=1</w:t>
      </w:r>
      <w:r w:rsidRPr="00032282">
        <w:rPr>
          <w:rFonts w:ascii="Segoe UI" w:eastAsia="Times New Roman" w:hAnsi="Segoe UI" w:cs="Segoe UI"/>
          <w:color w:val="0F1115"/>
          <w:sz w:val="24"/>
          <w:szCs w:val="24"/>
          <w:lang w:eastAsia="en-IN" w:bidi="mr-IN"/>
        </w:rPr>
        <w:t>, </w:t>
      </w:r>
      <w:r w:rsidRPr="00032282">
        <w:rPr>
          <w:rFonts w:ascii="Consolas" w:eastAsia="Times New Roman" w:hAnsi="Consolas" w:cs="Courier New"/>
          <w:color w:val="0F1115"/>
          <w:sz w:val="20"/>
          <w:szCs w:val="20"/>
          <w:shd w:val="clear" w:color="auto" w:fill="EBEEF2"/>
          <w:lang w:eastAsia="en-IN" w:bidi="mr-IN"/>
        </w:rPr>
        <w:t>fever=1</w:t>
      </w:r>
      <w:r w:rsidRPr="00032282">
        <w:rPr>
          <w:rFonts w:ascii="Segoe UI" w:eastAsia="Times New Roman" w:hAnsi="Segoe UI" w:cs="Segoe UI"/>
          <w:color w:val="0F1115"/>
          <w:sz w:val="24"/>
          <w:szCs w:val="24"/>
          <w:lang w:eastAsia="en-IN" w:bidi="mr-IN"/>
        </w:rPr>
        <w:t>, </w:t>
      </w:r>
      <w:proofErr w:type="spellStart"/>
      <w:r w:rsidRPr="00032282">
        <w:rPr>
          <w:rFonts w:ascii="Consolas" w:eastAsia="Times New Roman" w:hAnsi="Consolas" w:cs="Courier New"/>
          <w:color w:val="0F1115"/>
          <w:sz w:val="20"/>
          <w:szCs w:val="20"/>
          <w:shd w:val="clear" w:color="auto" w:fill="EBEEF2"/>
          <w:lang w:eastAsia="en-IN" w:bidi="mr-IN"/>
        </w:rPr>
        <w:t>abdominal_pain</w:t>
      </w:r>
      <w:proofErr w:type="spellEnd"/>
      <w:r w:rsidRPr="00032282">
        <w:rPr>
          <w:rFonts w:ascii="Consolas" w:eastAsia="Times New Roman" w:hAnsi="Consolas" w:cs="Courier New"/>
          <w:color w:val="0F1115"/>
          <w:sz w:val="20"/>
          <w:szCs w:val="20"/>
          <w:shd w:val="clear" w:color="auto" w:fill="EBEEF2"/>
          <w:lang w:eastAsia="en-IN" w:bidi="mr-IN"/>
        </w:rPr>
        <w:t>=1</w:t>
      </w:r>
      <w:r w:rsidRPr="00032282">
        <w:rPr>
          <w:rFonts w:ascii="Segoe UI" w:eastAsia="Times New Roman" w:hAnsi="Segoe UI" w:cs="Segoe UI"/>
          <w:color w:val="0F1115"/>
          <w:sz w:val="24"/>
          <w:szCs w:val="24"/>
          <w:lang w:eastAsia="en-IN" w:bidi="mr-IN"/>
        </w:rPr>
        <w:t xml:space="preserve">, and normal organ markers → </w:t>
      </w:r>
      <w:proofErr w:type="spellStart"/>
      <w:r w:rsidRPr="00032282">
        <w:rPr>
          <w:rFonts w:ascii="Segoe UI" w:eastAsia="Times New Roman" w:hAnsi="Segoe UI" w:cs="Segoe UI"/>
          <w:color w:val="0F1115"/>
          <w:sz w:val="24"/>
          <w:szCs w:val="24"/>
          <w:lang w:eastAsia="en-IN" w:bidi="mr-IN"/>
        </w:rPr>
        <w:t>Diarrhea</w:t>
      </w:r>
      <w:proofErr w:type="spellEnd"/>
      <w:r w:rsidRPr="00032282">
        <w:rPr>
          <w:rFonts w:ascii="Segoe UI" w:eastAsia="Times New Roman" w:hAnsi="Segoe UI" w:cs="Segoe UI"/>
          <w:color w:val="0F1115"/>
          <w:sz w:val="24"/>
          <w:szCs w:val="24"/>
          <w:lang w:eastAsia="en-IN" w:bidi="mr-IN"/>
        </w:rPr>
        <w:t>.</w:t>
      </w:r>
    </w:p>
    <w:p w14:paraId="15042F94" w14:textId="77777777" w:rsidR="00032282" w:rsidRPr="00032282" w:rsidRDefault="00032282" w:rsidP="00032282">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n-IN" w:bidi="mr-IN"/>
        </w:rPr>
      </w:pPr>
      <w:r w:rsidRPr="00032282">
        <w:rPr>
          <w:rFonts w:ascii="Segoe UI" w:eastAsia="Times New Roman" w:hAnsi="Segoe UI" w:cs="Segoe UI"/>
          <w:color w:val="0F1115"/>
          <w:sz w:val="24"/>
          <w:szCs w:val="24"/>
          <w:lang w:eastAsia="en-IN" w:bidi="mr-IN"/>
        </w:rPr>
        <w:t>A patient with all values within normal ranges and no symptoms → Healthy.</w:t>
      </w:r>
    </w:p>
    <w:p w14:paraId="251586C2" w14:textId="77777777" w:rsidR="00032282" w:rsidRDefault="00032282"/>
    <w:sectPr w:rsidR="00032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40A19"/>
    <w:multiLevelType w:val="multilevel"/>
    <w:tmpl w:val="0050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041A3"/>
    <w:multiLevelType w:val="multilevel"/>
    <w:tmpl w:val="BD4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35881"/>
    <w:multiLevelType w:val="multilevel"/>
    <w:tmpl w:val="0B9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271A0"/>
    <w:multiLevelType w:val="multilevel"/>
    <w:tmpl w:val="9F4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B3443"/>
    <w:multiLevelType w:val="multilevel"/>
    <w:tmpl w:val="5F6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C56A9"/>
    <w:multiLevelType w:val="multilevel"/>
    <w:tmpl w:val="8E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501ED"/>
    <w:multiLevelType w:val="multilevel"/>
    <w:tmpl w:val="290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A6A0A"/>
    <w:multiLevelType w:val="multilevel"/>
    <w:tmpl w:val="797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54797"/>
    <w:multiLevelType w:val="multilevel"/>
    <w:tmpl w:val="79D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61789"/>
    <w:multiLevelType w:val="multilevel"/>
    <w:tmpl w:val="503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92FAA"/>
    <w:multiLevelType w:val="multilevel"/>
    <w:tmpl w:val="987C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2"/>
  </w:num>
  <w:num w:numId="5">
    <w:abstractNumId w:val="9"/>
  </w:num>
  <w:num w:numId="6">
    <w:abstractNumId w:val="4"/>
  </w:num>
  <w:num w:numId="7">
    <w:abstractNumId w:val="7"/>
  </w:num>
  <w:num w:numId="8">
    <w:abstractNumId w:val="8"/>
  </w:num>
  <w:num w:numId="9">
    <w:abstractNumId w:val="5"/>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82"/>
    <w:rsid w:val="00032282"/>
    <w:rsid w:val="00795A7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1AFD"/>
  <w15:chartTrackingRefBased/>
  <w15:docId w15:val="{3BFD944F-4874-44C2-924B-24044343C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3228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03228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2282"/>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032282"/>
    <w:rPr>
      <w:rFonts w:ascii="Times New Roman" w:eastAsia="Times New Roman" w:hAnsi="Times New Roman" w:cs="Times New Roman"/>
      <w:b/>
      <w:bCs/>
      <w:sz w:val="27"/>
      <w:szCs w:val="27"/>
      <w:lang w:eastAsia="en-IN" w:bidi="mr-IN"/>
    </w:rPr>
  </w:style>
  <w:style w:type="paragraph" w:customStyle="1" w:styleId="ds-markdown-paragraph">
    <w:name w:val="ds-markdown-paragraph"/>
    <w:basedOn w:val="Normal"/>
    <w:rsid w:val="00032282"/>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Emphasis">
    <w:name w:val="Emphasis"/>
    <w:basedOn w:val="DefaultParagraphFont"/>
    <w:uiPriority w:val="20"/>
    <w:qFormat/>
    <w:rsid w:val="00032282"/>
    <w:rPr>
      <w:i/>
      <w:iCs/>
    </w:rPr>
  </w:style>
  <w:style w:type="character" w:styleId="Strong">
    <w:name w:val="Strong"/>
    <w:basedOn w:val="DefaultParagraphFont"/>
    <w:uiPriority w:val="22"/>
    <w:qFormat/>
    <w:rsid w:val="00032282"/>
    <w:rPr>
      <w:b/>
      <w:bCs/>
    </w:rPr>
  </w:style>
  <w:style w:type="character" w:styleId="HTMLCode">
    <w:name w:val="HTML Code"/>
    <w:basedOn w:val="DefaultParagraphFont"/>
    <w:uiPriority w:val="99"/>
    <w:semiHidden/>
    <w:unhideWhenUsed/>
    <w:rsid w:val="000322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391233">
      <w:bodyDiv w:val="1"/>
      <w:marLeft w:val="0"/>
      <w:marRight w:val="0"/>
      <w:marTop w:val="0"/>
      <w:marBottom w:val="0"/>
      <w:divBdr>
        <w:top w:val="none" w:sz="0" w:space="0" w:color="auto"/>
        <w:left w:val="none" w:sz="0" w:space="0" w:color="auto"/>
        <w:bottom w:val="none" w:sz="0" w:space="0" w:color="auto"/>
        <w:right w:val="none" w:sz="0" w:space="0" w:color="auto"/>
      </w:divBdr>
    </w:div>
    <w:div w:id="192881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5579</Words>
  <Characters>31805</Characters>
  <Application>Microsoft Office Word</Application>
  <DocSecurity>0</DocSecurity>
  <Lines>265</Lines>
  <Paragraphs>74</Paragraphs>
  <ScaleCrop>false</ScaleCrop>
  <Company/>
  <LinksUpToDate>false</LinksUpToDate>
  <CharactersWithSpaces>37310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dc:creator>
  <cp:keywords/>
  <dc:description/>
  <cp:lastModifiedBy>rushi</cp:lastModifiedBy>
  <cp:revision>1</cp:revision>
  <dcterms:created xsi:type="dcterms:W3CDTF">2026-04-05T08:30:00Z</dcterms:created>
  <dcterms:modified xsi:type="dcterms:W3CDTF">2026-04-05T08:39:00Z</dcterms:modified>
</cp:coreProperties>
</file>