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F297" w14:textId="77777777" w:rsidR="001F65B5" w:rsidRPr="001F65B5" w:rsidRDefault="001F65B5" w:rsidP="001F65B5">
      <w:pPr>
        <w:shd w:val="clear" w:color="auto" w:fill="FFFFFF"/>
        <w:spacing w:before="300" w:after="150" w:line="240" w:lineRule="auto"/>
        <w:jc w:val="center"/>
        <w:outlineLvl w:val="3"/>
        <w:rPr>
          <w:rFonts w:ascii="Cambria" w:eastAsia="Times New Roman" w:hAnsi="Cambria" w:cs="Times New Roman"/>
          <w:b/>
          <w:bCs/>
          <w:color w:val="1E1E1E"/>
          <w:sz w:val="36"/>
          <w:szCs w:val="36"/>
          <w:lang w:eastAsia="en-IN" w:bidi="hi-IN"/>
        </w:rPr>
      </w:pPr>
      <w:r w:rsidRPr="001F65B5">
        <w:rPr>
          <w:rFonts w:ascii="Cambria" w:eastAsia="Times New Roman" w:hAnsi="Cambria" w:cs="Times New Roman"/>
          <w:b/>
          <w:bCs/>
          <w:color w:val="1E1E1E"/>
          <w:sz w:val="36"/>
          <w:szCs w:val="36"/>
          <w:lang w:eastAsia="en-IN" w:bidi="hi-IN"/>
        </w:rPr>
        <w:t>Multiple Linear Regression</w:t>
      </w:r>
    </w:p>
    <w:p w14:paraId="4D1F7388" w14:textId="77777777" w:rsidR="001F65B5" w:rsidRPr="001F65B5" w:rsidRDefault="001F65B5" w:rsidP="001F65B5">
      <w:pPr>
        <w:spacing w:after="150"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Unlike simple linear regression, multiple linear regression establishes the relationship between the response variable and the predictors (usually two or more). In reality, several factors contribute to a certain outcome as opposed to just one as suggested by simple linear regression. Multiple linear regression has similar assumptions as simple linear regression and also assumes that there is no significant correlation between the predictors. While the relationship between variables can be linear, it allows for non-linear relationships that are not straight lines.</w:t>
      </w:r>
    </w:p>
    <w:p w14:paraId="4A9FF8CE" w14:textId="720A56BB" w:rsidR="001F65B5" w:rsidRPr="001F65B5" w:rsidRDefault="001F65B5" w:rsidP="00D522B0">
      <w:pPr>
        <w:spacing w:after="150" w:line="240" w:lineRule="auto"/>
        <w:ind w:left="1440" w:firstLine="720"/>
        <w:rPr>
          <w:rFonts w:ascii="Times New Roman" w:eastAsia="Times New Roman" w:hAnsi="Times New Roman" w:cs="Times New Roman"/>
          <w:sz w:val="24"/>
          <w:szCs w:val="24"/>
          <w:lang w:eastAsia="en-IN" w:bidi="hi-IN"/>
        </w:rPr>
      </w:pPr>
      <w:r w:rsidRPr="001F65B5">
        <w:rPr>
          <w:rFonts w:ascii="KaTeX_Math" w:eastAsia="Times New Roman" w:hAnsi="KaTeX_Math" w:cs="Times New Roman"/>
          <w:i/>
          <w:iCs/>
          <w:sz w:val="29"/>
          <w:szCs w:val="29"/>
          <w:lang w:eastAsia="en-IN" w:bidi="hi-IN"/>
        </w:rPr>
        <w:t>Y</w:t>
      </w:r>
      <w:r w:rsidRPr="001F65B5">
        <w:rPr>
          <w:rFonts w:ascii="Times New Roman" w:eastAsia="Times New Roman" w:hAnsi="Times New Roman" w:cs="Times New Roman"/>
          <w:sz w:val="29"/>
          <w:szCs w:val="29"/>
          <w:lang w:eastAsia="en-IN" w:bidi="hi-IN"/>
        </w:rPr>
        <w:t>=</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0</w:t>
      </w:r>
      <w:r w:rsidRPr="001F65B5">
        <w:rPr>
          <w:rFonts w:ascii="Times New Roman" w:eastAsia="Times New Roman" w:hAnsi="Times New Roman" w:cs="Times New Roman"/>
          <w:sz w:val="2"/>
          <w:szCs w:val="2"/>
          <w:lang w:eastAsia="en-IN" w:bidi="hi-IN"/>
        </w:rPr>
        <w:t>​</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1</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Times New Roman" w:eastAsia="Times New Roman" w:hAnsi="Times New Roman" w:cs="Times New Roman"/>
          <w:sz w:val="20"/>
          <w:szCs w:val="20"/>
          <w:lang w:eastAsia="en-IN" w:bidi="hi-IN"/>
        </w:rPr>
        <w:t>1</w:t>
      </w:r>
      <w:r w:rsidRPr="001F65B5">
        <w:rPr>
          <w:rFonts w:ascii="Times New Roman" w:eastAsia="Times New Roman" w:hAnsi="Times New Roman" w:cs="Times New Roman"/>
          <w:sz w:val="2"/>
          <w:szCs w:val="2"/>
          <w:lang w:eastAsia="en-IN" w:bidi="hi-IN"/>
        </w:rPr>
        <w:t>​</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2</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Times New Roman" w:eastAsia="Times New Roman" w:hAnsi="Times New Roman" w:cs="Times New Roman"/>
          <w:sz w:val="20"/>
          <w:szCs w:val="20"/>
          <w:lang w:eastAsia="en-IN" w:bidi="hi-IN"/>
        </w:rPr>
        <w:t>2</w:t>
      </w:r>
      <w:r w:rsidRPr="001F65B5">
        <w:rPr>
          <w:rFonts w:ascii="Times New Roman" w:eastAsia="Times New Roman" w:hAnsi="Times New Roman" w:cs="Times New Roman"/>
          <w:sz w:val="2"/>
          <w:szCs w:val="2"/>
          <w:lang w:eastAsia="en-IN" w:bidi="hi-IN"/>
        </w:rPr>
        <w:t>​</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θ</w:t>
      </w:r>
      <w:r w:rsidRPr="001F65B5">
        <w:rPr>
          <w:rFonts w:ascii="KaTeX_Math" w:eastAsia="Times New Roman" w:hAnsi="KaTeX_Math" w:cs="Times New Roman"/>
          <w:i/>
          <w:iCs/>
          <w:sz w:val="20"/>
          <w:szCs w:val="20"/>
          <w:lang w:eastAsia="en-IN" w:bidi="hi-IN"/>
        </w:rPr>
        <w:t>n</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KaTeX_Math" w:eastAsia="Times New Roman" w:hAnsi="KaTeX_Math" w:cs="Times New Roman"/>
          <w:i/>
          <w:iCs/>
          <w:sz w:val="20"/>
          <w:szCs w:val="20"/>
          <w:lang w:eastAsia="en-IN" w:bidi="hi-IN"/>
        </w:rPr>
        <w:t>n</w:t>
      </w:r>
      <w:r w:rsidRPr="001F65B5">
        <w:rPr>
          <w:rFonts w:ascii="Times New Roman" w:eastAsia="Times New Roman" w:hAnsi="Times New Roman" w:cs="Times New Roman"/>
          <w:sz w:val="2"/>
          <w:szCs w:val="2"/>
          <w:lang w:eastAsia="en-IN" w:bidi="hi-IN"/>
        </w:rPr>
        <w:t>​</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ϵ</w:t>
      </w:r>
    </w:p>
    <w:p w14:paraId="7618CCDA" w14:textId="77777777" w:rsidR="001F65B5" w:rsidRPr="001F65B5" w:rsidRDefault="001F65B5" w:rsidP="001F65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Collinearity</w:t>
      </w:r>
    </w:p>
    <w:p w14:paraId="3077B51E" w14:textId="77777777" w:rsidR="001F65B5" w:rsidRPr="001F65B5" w:rsidRDefault="001F65B5" w:rsidP="001F65B5">
      <w:pPr>
        <w:spacing w:after="150"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Correlation is a measure used to describe the linear relationship between two variables. Correlation values range from -1 for a perfect negative correlation (an increase in one variable causes a decrease in the other variable) to +1 for a perfect positive correlation (both variables increase or decrease together). A correlation value of 0 indicates that there is absolutely no correlation between both variables. A situation where two or more of the predictors have a strong correlation is known as multicollinearity. Since predictors are expected to be independent, when multicollinearity occurs, the correlated variables cannot independently contribute to predicting the value of the response variable. In addition, not all the predictors included are relevant in obtaining better results from the model. Adding more independent variables to the model is not always better instead, it might only make the model more complicated. To resolve this, one of the correlated predictors is selected and the other removed from the data.</w:t>
      </w:r>
    </w:p>
    <w:p w14:paraId="7B6C055B" w14:textId="77777777" w:rsidR="001F65B5" w:rsidRPr="001F65B5" w:rsidRDefault="001F65B5" w:rsidP="001F65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Polynomial Regression</w:t>
      </w:r>
    </w:p>
    <w:p w14:paraId="7A165C81" w14:textId="77777777" w:rsidR="001F65B5" w:rsidRPr="001F65B5" w:rsidRDefault="001F65B5" w:rsidP="001F65B5">
      <w:pPr>
        <w:spacing w:after="150"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A polynomial regression model is considered a linear regression model that can be used when a curvilinear relationship exists between the predictors and the response variable. It can be represented as-</w:t>
      </w:r>
    </w:p>
    <w:p w14:paraId="46E7C928" w14:textId="709461FA" w:rsidR="001F65B5" w:rsidRPr="001F65B5" w:rsidRDefault="001F65B5" w:rsidP="001F65B5">
      <w:pPr>
        <w:spacing w:after="150" w:line="240" w:lineRule="auto"/>
        <w:ind w:left="1440" w:firstLine="720"/>
        <w:rPr>
          <w:rFonts w:ascii="Times New Roman" w:eastAsia="Times New Roman" w:hAnsi="Times New Roman" w:cs="Times New Roman"/>
          <w:sz w:val="24"/>
          <w:szCs w:val="24"/>
          <w:lang w:eastAsia="en-IN" w:bidi="hi-IN"/>
        </w:rPr>
      </w:pPr>
      <w:r w:rsidRPr="001F65B5">
        <w:rPr>
          <w:rFonts w:ascii="KaTeX_Math" w:eastAsia="Times New Roman" w:hAnsi="KaTeX_Math" w:cs="Times New Roman"/>
          <w:i/>
          <w:iCs/>
          <w:sz w:val="29"/>
          <w:szCs w:val="29"/>
          <w:lang w:eastAsia="en-IN" w:bidi="hi-IN"/>
        </w:rPr>
        <w:t>Y</w:t>
      </w:r>
      <w:r w:rsidRPr="001F65B5">
        <w:rPr>
          <w:rFonts w:ascii="Times New Roman" w:eastAsia="Times New Roman" w:hAnsi="Times New Roman" w:cs="Times New Roman"/>
          <w:sz w:val="29"/>
          <w:szCs w:val="29"/>
          <w:lang w:eastAsia="en-IN" w:bidi="hi-IN"/>
        </w:rPr>
        <w:t>= </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0</w:t>
      </w:r>
      <w:r w:rsidRPr="001F65B5">
        <w:rPr>
          <w:rFonts w:ascii="Times New Roman" w:eastAsia="Times New Roman" w:hAnsi="Times New Roman" w:cs="Times New Roman"/>
          <w:sz w:val="2"/>
          <w:szCs w:val="2"/>
          <w:lang w:eastAsia="en-IN" w:bidi="hi-IN"/>
        </w:rPr>
        <w:t>​</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1</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θ</w:t>
      </w:r>
      <w:r w:rsidRPr="001F65B5">
        <w:rPr>
          <w:rFonts w:ascii="Times New Roman" w:eastAsia="Times New Roman" w:hAnsi="Times New Roman" w:cs="Times New Roman"/>
          <w:sz w:val="20"/>
          <w:szCs w:val="20"/>
          <w:lang w:eastAsia="en-IN" w:bidi="hi-IN"/>
        </w:rPr>
        <w:t>2</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Times New Roman" w:eastAsia="Times New Roman" w:hAnsi="Times New Roman" w:cs="Times New Roman"/>
          <w:sz w:val="20"/>
          <w:szCs w:val="20"/>
          <w:lang w:eastAsia="en-IN" w:bidi="hi-IN"/>
        </w:rPr>
        <w:t>2</w:t>
      </w:r>
      <w:r w:rsidRPr="001F65B5">
        <w:rPr>
          <w:rFonts w:ascii="Times New Roman" w:eastAsia="Times New Roman" w:hAnsi="Times New Roman" w:cs="Times New Roman"/>
          <w:sz w:val="29"/>
          <w:szCs w:val="29"/>
          <w:lang w:eastAsia="en-IN" w:bidi="hi-IN"/>
        </w:rPr>
        <w:t> + ... + </w:t>
      </w:r>
      <w:r w:rsidRPr="001F65B5">
        <w:rPr>
          <w:rFonts w:ascii="KaTeX_Math" w:eastAsia="Times New Roman" w:hAnsi="KaTeX_Math" w:cs="Times New Roman"/>
          <w:i/>
          <w:iCs/>
          <w:sz w:val="29"/>
          <w:szCs w:val="29"/>
          <w:lang w:eastAsia="en-IN" w:bidi="hi-IN"/>
        </w:rPr>
        <w:t>θ</w:t>
      </w:r>
      <w:r w:rsidRPr="001F65B5">
        <w:rPr>
          <w:rFonts w:ascii="KaTeX_Math" w:eastAsia="Times New Roman" w:hAnsi="KaTeX_Math" w:cs="Times New Roman"/>
          <w:i/>
          <w:iCs/>
          <w:sz w:val="20"/>
          <w:szCs w:val="20"/>
          <w:lang w:eastAsia="en-IN" w:bidi="hi-IN"/>
        </w:rPr>
        <w:t>n</w:t>
      </w:r>
      <w:r w:rsidRPr="001F65B5">
        <w:rPr>
          <w:rFonts w:ascii="Times New Roman" w:eastAsia="Times New Roman" w:hAnsi="Times New Roman" w:cs="Times New Roman"/>
          <w:sz w:val="2"/>
          <w:szCs w:val="2"/>
          <w:lang w:eastAsia="en-IN" w:bidi="hi-IN"/>
        </w:rPr>
        <w:t>​</w:t>
      </w:r>
      <w:r w:rsidRPr="001F65B5">
        <w:rPr>
          <w:rFonts w:ascii="KaTeX_Math" w:eastAsia="Times New Roman" w:hAnsi="KaTeX_Math" w:cs="Times New Roman"/>
          <w:i/>
          <w:iCs/>
          <w:sz w:val="29"/>
          <w:szCs w:val="29"/>
          <w:lang w:eastAsia="en-IN" w:bidi="hi-IN"/>
        </w:rPr>
        <w:t>X</w:t>
      </w:r>
      <w:r w:rsidRPr="001F65B5">
        <w:rPr>
          <w:rFonts w:ascii="KaTeX_Math" w:eastAsia="Times New Roman" w:hAnsi="KaTeX_Math" w:cs="Times New Roman"/>
          <w:i/>
          <w:iCs/>
          <w:sz w:val="20"/>
          <w:szCs w:val="20"/>
          <w:lang w:eastAsia="en-IN" w:bidi="hi-IN"/>
        </w:rPr>
        <w:t>n</w:t>
      </w:r>
      <w:r w:rsidRPr="001F65B5">
        <w:rPr>
          <w:rFonts w:ascii="Times New Roman" w:eastAsia="Times New Roman" w:hAnsi="Times New Roman" w:cs="Times New Roman"/>
          <w:sz w:val="29"/>
          <w:szCs w:val="29"/>
          <w:lang w:eastAsia="en-IN" w:bidi="hi-IN"/>
        </w:rPr>
        <w:t> + </w:t>
      </w:r>
      <w:r w:rsidRPr="001F65B5">
        <w:rPr>
          <w:rFonts w:ascii="KaTeX_Math" w:eastAsia="Times New Roman" w:hAnsi="KaTeX_Math" w:cs="Times New Roman"/>
          <w:i/>
          <w:iCs/>
          <w:sz w:val="29"/>
          <w:szCs w:val="29"/>
          <w:lang w:eastAsia="en-IN" w:bidi="hi-IN"/>
        </w:rPr>
        <w:t>ϵ</w:t>
      </w:r>
      <w:r w:rsidRPr="001F65B5">
        <w:rPr>
          <w:rFonts w:ascii="Times New Roman" w:eastAsia="Times New Roman" w:hAnsi="Times New Roman" w:cs="Times New Roman"/>
          <w:sz w:val="29"/>
          <w:szCs w:val="29"/>
          <w:lang w:eastAsia="en-IN" w:bidi="hi-IN"/>
        </w:rPr>
        <w:t>,</w:t>
      </w:r>
    </w:p>
    <w:p w14:paraId="451CECF5" w14:textId="77777777" w:rsidR="001F65B5" w:rsidRPr="001F65B5" w:rsidRDefault="001F65B5" w:rsidP="001F65B5">
      <w:pPr>
        <w:spacing w:after="150"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for a single independent variable where n is the degree of the polynomial and Y is a linear function of </w:t>
      </w:r>
      <w:r w:rsidRPr="001F65B5">
        <w:rPr>
          <w:rFonts w:ascii="Cambria Math" w:eastAsia="Times New Roman" w:hAnsi="Cambria Math" w:cs="Cambria Math"/>
          <w:sz w:val="24"/>
          <w:szCs w:val="24"/>
          <w:lang w:eastAsia="en-IN" w:bidi="hi-IN"/>
        </w:rPr>
        <w:t>𝜃</w:t>
      </w:r>
      <w:r w:rsidRPr="001F65B5">
        <w:rPr>
          <w:rFonts w:ascii="Times New Roman" w:eastAsia="Times New Roman" w:hAnsi="Times New Roman" w:cs="Times New Roman"/>
          <w:sz w:val="24"/>
          <w:szCs w:val="24"/>
          <w:lang w:eastAsia="en-IN" w:bidi="hi-IN"/>
        </w:rPr>
        <w:t>.  Depending on the task and data, there might be multiple predictors in a polynomial regression model which results in more interactions in the model. As expected, the complexity in the model increases as the degree increases.</w:t>
      </w:r>
    </w:p>
    <w:p w14:paraId="01BB3C4A" w14:textId="77777777" w:rsidR="001F65B5" w:rsidRPr="001F65B5" w:rsidRDefault="001F65B5" w:rsidP="001F65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Coefficients of multiple linear regression</w:t>
      </w:r>
    </w:p>
    <w:p w14:paraId="070488BA" w14:textId="77777777" w:rsidR="001F65B5" w:rsidRPr="001F65B5" w:rsidRDefault="001F65B5" w:rsidP="001F65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1F65B5">
        <w:rPr>
          <w:rFonts w:ascii="Times New Roman" w:eastAsia="Times New Roman" w:hAnsi="Times New Roman" w:cs="Times New Roman"/>
          <w:sz w:val="24"/>
          <w:szCs w:val="24"/>
          <w:lang w:eastAsia="en-IN" w:bidi="hi-IN"/>
        </w:rPr>
        <w:t>General notations</w:t>
      </w:r>
    </w:p>
    <w:p w14:paraId="1B6A64C6" w14:textId="77777777" w:rsidR="00980D5A" w:rsidRDefault="00980D5A"/>
    <w:sectPr w:rsidR="0098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215"/>
    <w:multiLevelType w:val="multilevel"/>
    <w:tmpl w:val="E008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94BDF"/>
    <w:multiLevelType w:val="multilevel"/>
    <w:tmpl w:val="FFC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977A0"/>
    <w:multiLevelType w:val="multilevel"/>
    <w:tmpl w:val="FD8E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110020">
    <w:abstractNumId w:val="1"/>
  </w:num>
  <w:num w:numId="2" w16cid:durableId="2009089887">
    <w:abstractNumId w:val="0"/>
  </w:num>
  <w:num w:numId="3" w16cid:durableId="1268392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B5"/>
    <w:rsid w:val="001F65B5"/>
    <w:rsid w:val="00980D5A"/>
    <w:rsid w:val="00D522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78CC"/>
  <w15:chartTrackingRefBased/>
  <w15:docId w15:val="{D40A9120-F691-4319-84E5-D9420BEE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65B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65B5"/>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1F65B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atex-mathml">
    <w:name w:val="katex-mathml"/>
    <w:basedOn w:val="DefaultParagraphFont"/>
    <w:rsid w:val="001F65B5"/>
  </w:style>
  <w:style w:type="character" w:customStyle="1" w:styleId="mord">
    <w:name w:val="mord"/>
    <w:basedOn w:val="DefaultParagraphFont"/>
    <w:rsid w:val="001F65B5"/>
  </w:style>
  <w:style w:type="character" w:customStyle="1" w:styleId="mspace">
    <w:name w:val="mspace"/>
    <w:basedOn w:val="DefaultParagraphFont"/>
    <w:rsid w:val="001F65B5"/>
  </w:style>
  <w:style w:type="character" w:customStyle="1" w:styleId="mrel">
    <w:name w:val="mrel"/>
    <w:basedOn w:val="DefaultParagraphFont"/>
    <w:rsid w:val="001F65B5"/>
  </w:style>
  <w:style w:type="character" w:customStyle="1" w:styleId="vlist-s">
    <w:name w:val="vlist-s"/>
    <w:basedOn w:val="DefaultParagraphFont"/>
    <w:rsid w:val="001F65B5"/>
  </w:style>
  <w:style w:type="character" w:customStyle="1" w:styleId="mbin">
    <w:name w:val="mbin"/>
    <w:basedOn w:val="DefaultParagraphFont"/>
    <w:rsid w:val="001F65B5"/>
  </w:style>
  <w:style w:type="character" w:customStyle="1" w:styleId="mpunct">
    <w:name w:val="mpunct"/>
    <w:basedOn w:val="DefaultParagraphFont"/>
    <w:rsid w:val="001F6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67980">
      <w:bodyDiv w:val="1"/>
      <w:marLeft w:val="0"/>
      <w:marRight w:val="0"/>
      <w:marTop w:val="0"/>
      <w:marBottom w:val="0"/>
      <w:divBdr>
        <w:top w:val="none" w:sz="0" w:space="0" w:color="auto"/>
        <w:left w:val="none" w:sz="0" w:space="0" w:color="auto"/>
        <w:bottom w:val="none" w:sz="0" w:space="0" w:color="auto"/>
        <w:right w:val="none" w:sz="0" w:space="0" w:color="auto"/>
      </w:divBdr>
      <w:divsChild>
        <w:div w:id="1390959583">
          <w:marLeft w:val="0"/>
          <w:marRight w:val="0"/>
          <w:marTop w:val="0"/>
          <w:marBottom w:val="150"/>
          <w:divBdr>
            <w:top w:val="none" w:sz="0" w:space="0" w:color="auto"/>
            <w:left w:val="none" w:sz="0" w:space="0" w:color="auto"/>
            <w:bottom w:val="none" w:sz="0" w:space="0" w:color="auto"/>
            <w:right w:val="none" w:sz="0" w:space="0" w:color="auto"/>
          </w:divBdr>
        </w:div>
        <w:div w:id="134424140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3</cp:revision>
  <cp:lastPrinted>2022-11-26T06:41:00Z</cp:lastPrinted>
  <dcterms:created xsi:type="dcterms:W3CDTF">2022-11-26T06:39:00Z</dcterms:created>
  <dcterms:modified xsi:type="dcterms:W3CDTF">2022-11-26T06:41:00Z</dcterms:modified>
</cp:coreProperties>
</file>