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System Design Specification (SDS)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Project Name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Retail Order &amp; Inventory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ersion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v0.1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Author 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Rushik Dumpala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11-02-2026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Draft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rPr>
          <w:sz w:val="40"/>
          <w:szCs w:val="40"/>
        </w:rPr>
      </w:pPr>
      <w:bookmarkStart w:colFirst="0" w:colLast="0" w:name="_64hcikuj44t2" w:id="0"/>
      <w:bookmarkEnd w:id="0"/>
      <w:r w:rsidDel="00000000" w:rsidR="00000000" w:rsidRPr="00000000">
        <w:rPr>
          <w:sz w:val="40"/>
          <w:szCs w:val="40"/>
          <w:rtl w:val="0"/>
        </w:rPr>
        <w:t xml:space="preserve">1. TECH STACK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3480"/>
        <w:gridCol w:w="2840"/>
        <w:gridCol w:w="4140"/>
        <w:tblGridChange w:id="0">
          <w:tblGrid>
            <w:gridCol w:w="3480"/>
            <w:gridCol w:w="2840"/>
            <w:gridCol w:w="41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Specification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Rationale for Selection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React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Selected for its component architecture, strong community, and efficient DOM manipulation, perfect for a complex, dynamic order and inventory management UI.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Node.js with Express.js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Its non-blocking, event-driven architecture ensures high performance and scalability for simultaneous order and inventory updates.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Express.js provides a robust framework for the RESTful 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Selected for reliability, ACID compliance, strong complex query support, and suitability for structured relational data (inventory, customer info, orders).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APIs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RESTful API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 standard, stateless architectural style that separates client and server, boosting scalability and facilitating easy integration with future third-party systems or mobile clients.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Development tools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Docker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Containerization ensures consistency across environments and simplifies application setup and deployment.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Load balancer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Nginx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Chosen for its high performance as a reverse proxy and load balancer.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It will efficiently distribute incoming application traffic across multiple backend Node.js instances for maximum throughput and reliability.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Queue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RabbitMQ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Selected as a robust message broker for asynchronous tasks (e.g., order confirmations, low-stock alerts) to decouple components and boost system responsiveness.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On-premise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Initial deployment will use existing on-premise hardware to maintain security and data location control, adhering to current infrastructure policy.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Title"/>
        <w:rPr>
          <w:sz w:val="40"/>
          <w:szCs w:val="40"/>
        </w:rPr>
      </w:pPr>
      <w:bookmarkStart w:colFirst="0" w:colLast="0" w:name="_mx4oswka0qc" w:id="1"/>
      <w:bookmarkEnd w:id="1"/>
      <w:r w:rsidDel="00000000" w:rsidR="00000000" w:rsidRPr="00000000">
        <w:rPr>
          <w:sz w:val="40"/>
          <w:szCs w:val="40"/>
          <w:rtl w:val="0"/>
        </w:rPr>
        <w:t xml:space="preserve">2. SYSTEM ARCHITECTURE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152400</wp:posOffset>
            </wp:positionH>
            <wp:positionV relativeFrom="paragraph">
              <wp:posOffset>368546</wp:posOffset>
            </wp:positionV>
            <wp:extent cx="4852988" cy="487271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2988" cy="48727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