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OFFER/2026/4681</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23/1/2026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chpl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sadsd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chpl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23/1/2026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chpl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23/1/2026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chpl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Basic Salary</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HRA</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96,000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Medical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1,250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15,000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Transport Allowans</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Bouns</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500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6,000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-21,600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Professional Tax</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-2,400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-28,800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21,600</w:t>
            </w:r>
            <w:proofErr w:type="spellStart"/>
            <w:r w:rsidRPr="00762FBF">
              <w:rPr>
                <w:b/>
                <w:sz w:val="26"/>
              </w:rPr>
              <w:t/>
            </w:r>
            <w:proofErr w:type="spellEnd"/>
            <w:r w:rsidRPr="00762FBF">
              <w:rPr>
                <w:b/>
                <w:sz w:val="26"/>
              </w:rPr>
              <w:t/>
            </w: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chpl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sadsd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chpl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