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Data Analysis Report: MECE </w:t>
      </w:r>
      <w:r>
        <w:rPr>
          <w:spacing w:val="-2"/>
        </w:rPr>
        <w:t>Breakdown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56"/>
        <w:rPr>
          <w:rFonts w:ascii="Arial"/>
          <w:b/>
          <w:sz w:val="32"/>
        </w:rPr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8" w:right="0" w:hanging="311"/>
        <w:jc w:val="left"/>
      </w:pPr>
      <w:r>
        <w:rPr/>
        <w:t>Customer </w:t>
      </w:r>
      <w:r>
        <w:rPr>
          <w:spacing w:val="-2"/>
        </w:rPr>
        <w:t>Analysis</w:t>
      </w:r>
    </w:p>
    <w:p>
      <w:pPr>
        <w:pStyle w:val="BodyText"/>
        <w:spacing w:before="270"/>
        <w:ind w:left="57"/>
      </w:pPr>
      <w:r>
        <w:rPr>
          <w:spacing w:val="-2"/>
        </w:rPr>
        <w:t>Insights: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74" w:val="left" w:leader="none"/>
        </w:tabs>
        <w:spacing w:line="491" w:lineRule="auto" w:before="0" w:after="0"/>
        <w:ind w:left="57" w:right="54" w:firstLine="0"/>
        <w:jc w:val="left"/>
        <w:rPr>
          <w:sz w:val="24"/>
        </w:rPr>
      </w:pPr>
      <w:r>
        <w:rPr>
          <w:sz w:val="24"/>
        </w:rPr>
        <w:t>High-Revenue</w:t>
      </w:r>
      <w:r>
        <w:rPr>
          <w:spacing w:val="40"/>
          <w:sz w:val="24"/>
        </w:rPr>
        <w:t> </w:t>
      </w:r>
      <w:r>
        <w:rPr>
          <w:sz w:val="24"/>
        </w:rPr>
        <w:t>Customers</w:t>
      </w:r>
      <w:r>
        <w:rPr>
          <w:spacing w:val="40"/>
          <w:sz w:val="24"/>
        </w:rPr>
        <w:t> </w:t>
      </w:r>
      <w:r>
        <w:rPr>
          <w:sz w:val="24"/>
        </w:rPr>
        <w:t>Identified:</w:t>
      </w:r>
      <w:r>
        <w:rPr>
          <w:spacing w:val="40"/>
          <w:sz w:val="24"/>
        </w:rPr>
        <w:t> </w:t>
      </w:r>
      <w:r>
        <w:rPr>
          <w:sz w:val="24"/>
        </w:rPr>
        <w:t>Anomaly</w:t>
      </w:r>
      <w:r>
        <w:rPr>
          <w:spacing w:val="40"/>
          <w:sz w:val="24"/>
        </w:rPr>
        <w:t> </w:t>
      </w:r>
      <w:r>
        <w:rPr>
          <w:sz w:val="24"/>
        </w:rPr>
        <w:t>detection</w:t>
      </w:r>
      <w:r>
        <w:rPr>
          <w:spacing w:val="40"/>
          <w:sz w:val="24"/>
        </w:rPr>
        <w:t> </w:t>
      </w:r>
      <w:r>
        <w:rPr>
          <w:sz w:val="24"/>
        </w:rPr>
        <w:t>flagged</w:t>
      </w:r>
      <w:r>
        <w:rPr>
          <w:spacing w:val="40"/>
          <w:sz w:val="24"/>
        </w:rPr>
        <w:t> </w:t>
      </w:r>
      <w:r>
        <w:rPr>
          <w:sz w:val="24"/>
        </w:rPr>
        <w:t>multiple</w:t>
      </w:r>
      <w:r>
        <w:rPr>
          <w:spacing w:val="40"/>
          <w:sz w:val="24"/>
        </w:rPr>
        <w:t> </w:t>
      </w:r>
      <w:r>
        <w:rPr>
          <w:sz w:val="24"/>
        </w:rPr>
        <w:t>high-revenue</w:t>
      </w:r>
      <w:r>
        <w:rPr>
          <w:spacing w:val="40"/>
          <w:sz w:val="24"/>
        </w:rPr>
        <w:t> </w:t>
      </w:r>
      <w:r>
        <w:rPr>
          <w:sz w:val="24"/>
        </w:rPr>
        <w:t>orders</w:t>
      </w:r>
      <w:r>
        <w:rPr>
          <w:spacing w:val="40"/>
          <w:sz w:val="24"/>
        </w:rPr>
        <w:t> </w:t>
      </w:r>
      <w:r>
        <w:rPr>
          <w:sz w:val="24"/>
        </w:rPr>
        <w:t>(~$1,427 avg per order).</w:t>
      </w:r>
    </w:p>
    <w:p>
      <w:pPr>
        <w:pStyle w:val="ListParagraph"/>
        <w:numPr>
          <w:ilvl w:val="1"/>
          <w:numId w:val="1"/>
        </w:numPr>
        <w:tabs>
          <w:tab w:pos="250" w:val="left" w:leader="none"/>
        </w:tabs>
        <w:spacing w:line="240" w:lineRule="auto" w:before="2" w:after="0"/>
        <w:ind w:left="250" w:right="0" w:hanging="193"/>
        <w:jc w:val="left"/>
        <w:rPr>
          <w:sz w:val="24"/>
        </w:rPr>
      </w:pPr>
      <w:r>
        <w:rPr>
          <w:sz w:val="24"/>
        </w:rPr>
        <w:t>Regional</w:t>
      </w:r>
      <w:r>
        <w:rPr>
          <w:spacing w:val="46"/>
          <w:sz w:val="24"/>
        </w:rPr>
        <w:t> </w:t>
      </w:r>
      <w:r>
        <w:rPr>
          <w:sz w:val="24"/>
        </w:rPr>
        <w:t>Price</w:t>
      </w:r>
      <w:r>
        <w:rPr>
          <w:spacing w:val="46"/>
          <w:sz w:val="24"/>
        </w:rPr>
        <w:t> </w:t>
      </w:r>
      <w:r>
        <w:rPr>
          <w:sz w:val="24"/>
        </w:rPr>
        <w:t>Sensitivity:</w:t>
      </w:r>
      <w:r>
        <w:rPr>
          <w:spacing w:val="46"/>
          <w:sz w:val="24"/>
        </w:rPr>
        <w:t> </w:t>
      </w:r>
      <w:r>
        <w:rPr>
          <w:sz w:val="24"/>
        </w:rPr>
        <w:t>France</w:t>
      </w:r>
      <w:r>
        <w:rPr>
          <w:spacing w:val="46"/>
          <w:sz w:val="24"/>
        </w:rPr>
        <w:t> </w:t>
      </w:r>
      <w:r>
        <w:rPr>
          <w:sz w:val="24"/>
        </w:rPr>
        <w:t>&amp;</w:t>
      </w:r>
      <w:r>
        <w:rPr>
          <w:spacing w:val="46"/>
          <w:sz w:val="24"/>
        </w:rPr>
        <w:t> </w:t>
      </w:r>
      <w:r>
        <w:rPr>
          <w:sz w:val="24"/>
        </w:rPr>
        <w:t>Germany</w:t>
      </w:r>
      <w:r>
        <w:rPr>
          <w:spacing w:val="46"/>
          <w:sz w:val="24"/>
        </w:rPr>
        <w:t> </w:t>
      </w:r>
      <w:r>
        <w:rPr>
          <w:sz w:val="24"/>
        </w:rPr>
        <w:t>customers</w:t>
      </w:r>
      <w:r>
        <w:rPr>
          <w:spacing w:val="46"/>
          <w:sz w:val="24"/>
        </w:rPr>
        <w:t> </w:t>
      </w:r>
      <w:r>
        <w:rPr>
          <w:sz w:val="24"/>
        </w:rPr>
        <w:t>pay</w:t>
      </w:r>
      <w:r>
        <w:rPr>
          <w:spacing w:val="46"/>
          <w:sz w:val="24"/>
        </w:rPr>
        <w:t> </w:t>
      </w:r>
      <w:r>
        <w:rPr>
          <w:sz w:val="24"/>
        </w:rPr>
        <w:t>premium</w:t>
      </w:r>
      <w:r>
        <w:rPr>
          <w:spacing w:val="46"/>
          <w:sz w:val="24"/>
        </w:rPr>
        <w:t> </w:t>
      </w:r>
      <w:r>
        <w:rPr>
          <w:sz w:val="24"/>
        </w:rPr>
        <w:t>prices</w:t>
      </w:r>
      <w:r>
        <w:rPr>
          <w:spacing w:val="46"/>
          <w:sz w:val="24"/>
        </w:rPr>
        <w:t> </w:t>
      </w:r>
      <w:r>
        <w:rPr>
          <w:sz w:val="24"/>
        </w:rPr>
        <w:t>(avg</w:t>
      </w:r>
      <w:r>
        <w:rPr>
          <w:spacing w:val="46"/>
          <w:sz w:val="24"/>
        </w:rPr>
        <w:t> </w:t>
      </w:r>
      <w:r>
        <w:rPr>
          <w:sz w:val="24"/>
        </w:rPr>
        <w:t>$198.50</w:t>
      </w:r>
      <w:r>
        <w:rPr>
          <w:spacing w:val="46"/>
          <w:sz w:val="24"/>
        </w:rPr>
        <w:t> </w:t>
      </w:r>
      <w:r>
        <w:rPr>
          <w:spacing w:val="-10"/>
          <w:sz w:val="24"/>
        </w:rPr>
        <w:t>&amp;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57" w:right="4799"/>
      </w:pPr>
      <w:r>
        <w:rPr/>
        <w:t>$100.28),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Brazil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Singapore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price-</w:t>
      </w:r>
      <w:r>
        <w:rPr/>
        <w:t>sensitive. Actionable Takeaways: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3" w:after="0"/>
        <w:ind w:left="203" w:right="0" w:hanging="146"/>
        <w:jc w:val="left"/>
        <w:rPr>
          <w:sz w:val="24"/>
        </w:rPr>
      </w:pPr>
      <w:r>
        <w:rPr>
          <w:sz w:val="24"/>
        </w:rPr>
        <w:t>Implement tiered pricing &amp; loyalty programs for high-value </w:t>
      </w:r>
      <w:r>
        <w:rPr>
          <w:spacing w:val="-2"/>
          <w:sz w:val="24"/>
        </w:rPr>
        <w:t>customers.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42" w:val="left" w:leader="none"/>
        </w:tabs>
        <w:spacing w:line="491" w:lineRule="auto" w:before="0" w:after="0"/>
        <w:ind w:left="57" w:right="54" w:firstLine="0"/>
        <w:jc w:val="left"/>
        <w:rPr>
          <w:sz w:val="24"/>
        </w:rPr>
      </w:pPr>
      <w:r>
        <w:rPr>
          <w:sz w:val="24"/>
        </w:rPr>
        <w:t>Tailor</w:t>
      </w:r>
      <w:r>
        <w:rPr>
          <w:spacing w:val="35"/>
          <w:sz w:val="24"/>
        </w:rPr>
        <w:t> </w:t>
      </w:r>
      <w:r>
        <w:rPr>
          <w:sz w:val="24"/>
        </w:rPr>
        <w:t>regional</w:t>
      </w:r>
      <w:r>
        <w:rPr>
          <w:spacing w:val="35"/>
          <w:sz w:val="24"/>
        </w:rPr>
        <w:t> </w:t>
      </w:r>
      <w:r>
        <w:rPr>
          <w:sz w:val="24"/>
        </w:rPr>
        <w:t>marketing:</w:t>
      </w:r>
      <w:r>
        <w:rPr>
          <w:spacing w:val="35"/>
          <w:sz w:val="24"/>
        </w:rPr>
        <w:t> </w:t>
      </w:r>
      <w:r>
        <w:rPr>
          <w:sz w:val="24"/>
        </w:rPr>
        <w:t>luxury</w:t>
      </w:r>
      <w:r>
        <w:rPr>
          <w:spacing w:val="35"/>
          <w:sz w:val="24"/>
        </w:rPr>
        <w:t> </w:t>
      </w:r>
      <w:r>
        <w:rPr>
          <w:sz w:val="24"/>
        </w:rPr>
        <w:t>promotions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high-price</w:t>
      </w:r>
      <w:r>
        <w:rPr>
          <w:spacing w:val="35"/>
          <w:sz w:val="24"/>
        </w:rPr>
        <w:t> </w:t>
      </w:r>
      <w:r>
        <w:rPr>
          <w:sz w:val="24"/>
        </w:rPr>
        <w:t>countries,</w:t>
      </w:r>
      <w:r>
        <w:rPr>
          <w:spacing w:val="35"/>
          <w:sz w:val="24"/>
        </w:rPr>
        <w:t> </w:t>
      </w:r>
      <w:r>
        <w:rPr>
          <w:sz w:val="24"/>
        </w:rPr>
        <w:t>discounts</w:t>
      </w:r>
      <w:r>
        <w:rPr>
          <w:spacing w:val="35"/>
          <w:sz w:val="24"/>
        </w:rPr>
        <w:t> </w:t>
      </w: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price-</w:t>
      </w:r>
      <w:r>
        <w:rPr>
          <w:sz w:val="24"/>
        </w:rPr>
        <w:t>sensitive </w:t>
      </w:r>
      <w:r>
        <w:rPr>
          <w:spacing w:val="-2"/>
          <w:sz w:val="24"/>
        </w:rPr>
        <w:t>regions.</w:t>
      </w: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260" w:after="0"/>
        <w:ind w:left="368" w:right="0" w:hanging="311"/>
        <w:jc w:val="left"/>
      </w:pPr>
      <w:r>
        <w:rPr/>
        <w:t>Employee </w:t>
      </w:r>
      <w:r>
        <w:rPr>
          <w:spacing w:val="-2"/>
        </w:rPr>
        <w:t>Analysis</w:t>
      </w:r>
    </w:p>
    <w:p>
      <w:pPr>
        <w:pStyle w:val="BodyText"/>
        <w:spacing w:before="271"/>
        <w:ind w:left="57"/>
      </w:pPr>
      <w:r>
        <w:rPr>
          <w:spacing w:val="-2"/>
        </w:rPr>
        <w:t>Insights: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82" w:val="left" w:leader="none"/>
        </w:tabs>
        <w:spacing w:line="491" w:lineRule="auto" w:before="1" w:after="0"/>
        <w:ind w:left="57" w:right="54" w:firstLine="0"/>
        <w:jc w:val="left"/>
        <w:rPr>
          <w:sz w:val="24"/>
        </w:rPr>
      </w:pPr>
      <w:r>
        <w:rPr>
          <w:sz w:val="24"/>
        </w:rPr>
        <w:t>High</w:t>
      </w:r>
      <w:r>
        <w:rPr>
          <w:spacing w:val="75"/>
          <w:sz w:val="24"/>
        </w:rPr>
        <w:t> </w:t>
      </w:r>
      <w:r>
        <w:rPr>
          <w:sz w:val="24"/>
        </w:rPr>
        <w:t>supplier</w:t>
      </w:r>
      <w:r>
        <w:rPr>
          <w:spacing w:val="75"/>
          <w:sz w:val="24"/>
        </w:rPr>
        <w:t> </w:t>
      </w:r>
      <w:r>
        <w:rPr>
          <w:sz w:val="24"/>
        </w:rPr>
        <w:t>density</w:t>
      </w:r>
      <w:r>
        <w:rPr>
          <w:spacing w:val="75"/>
          <w:sz w:val="24"/>
        </w:rPr>
        <w:t> </w:t>
      </w:r>
      <w:r>
        <w:rPr>
          <w:sz w:val="24"/>
        </w:rPr>
        <w:t>cities</w:t>
      </w:r>
      <w:r>
        <w:rPr>
          <w:spacing w:val="75"/>
          <w:sz w:val="24"/>
        </w:rPr>
        <w:t> </w:t>
      </w:r>
      <w:r>
        <w:rPr>
          <w:sz w:val="24"/>
        </w:rPr>
        <w:t>(London,</w:t>
      </w:r>
      <w:r>
        <w:rPr>
          <w:spacing w:val="75"/>
          <w:sz w:val="24"/>
        </w:rPr>
        <w:t> </w:t>
      </w:r>
      <w:r>
        <w:rPr>
          <w:sz w:val="24"/>
        </w:rPr>
        <w:t>Albuquerque)</w:t>
      </w:r>
      <w:r>
        <w:rPr>
          <w:spacing w:val="75"/>
          <w:sz w:val="24"/>
        </w:rPr>
        <w:t> </w:t>
      </w:r>
      <w:r>
        <w:rPr>
          <w:sz w:val="24"/>
        </w:rPr>
        <w:t>imply</w:t>
      </w:r>
      <w:r>
        <w:rPr>
          <w:spacing w:val="75"/>
          <w:sz w:val="24"/>
        </w:rPr>
        <w:t> </w:t>
      </w:r>
      <w:r>
        <w:rPr>
          <w:sz w:val="24"/>
        </w:rPr>
        <w:t>smoother</w:t>
      </w:r>
      <w:r>
        <w:rPr>
          <w:spacing w:val="75"/>
          <w:sz w:val="24"/>
        </w:rPr>
        <w:t> </w:t>
      </w:r>
      <w:r>
        <w:rPr>
          <w:sz w:val="24"/>
        </w:rPr>
        <w:t>procurement</w:t>
      </w:r>
      <w:r>
        <w:rPr>
          <w:spacing w:val="75"/>
          <w:sz w:val="24"/>
        </w:rPr>
        <w:t> </w:t>
      </w:r>
      <w:r>
        <w:rPr>
          <w:sz w:val="24"/>
        </w:rPr>
        <w:t>operations, reducing operational workload.</w:t>
      </w:r>
    </w:p>
    <w:p>
      <w:pPr>
        <w:pStyle w:val="ListParagraph"/>
        <w:numPr>
          <w:ilvl w:val="1"/>
          <w:numId w:val="1"/>
        </w:numPr>
        <w:tabs>
          <w:tab w:pos="224" w:val="left" w:leader="none"/>
        </w:tabs>
        <w:spacing w:line="491" w:lineRule="auto" w:before="2" w:after="0"/>
        <w:ind w:left="57" w:right="54" w:firstLine="0"/>
        <w:jc w:val="left"/>
        <w:rPr>
          <w:sz w:val="24"/>
        </w:rPr>
      </w:pPr>
      <w:r>
        <w:rPr>
          <w:sz w:val="24"/>
        </w:rPr>
        <w:t>Sudden demand drops (June 1996) might indicate operational bottlenecks (possibly workforce </w:t>
      </w:r>
      <w:r>
        <w:rPr>
          <w:sz w:val="24"/>
        </w:rPr>
        <w:t>or </w:t>
      </w:r>
      <w:r>
        <w:rPr>
          <w:spacing w:val="-2"/>
          <w:sz w:val="24"/>
        </w:rPr>
        <w:t>logistics-related).</w:t>
      </w:r>
    </w:p>
    <w:p>
      <w:pPr>
        <w:pStyle w:val="BodyText"/>
        <w:spacing w:before="2"/>
        <w:ind w:left="57"/>
      </w:pPr>
      <w:r>
        <w:rPr/>
        <w:t>Actionable </w:t>
      </w:r>
      <w:r>
        <w:rPr>
          <w:spacing w:val="-2"/>
        </w:rPr>
        <w:t>Takeaways: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Assess if employee resource allocation caused order delays during low-demand </w:t>
      </w:r>
      <w:r>
        <w:rPr>
          <w:spacing w:val="-2"/>
          <w:sz w:val="24"/>
        </w:rPr>
        <w:t>months.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Train procurement teams to leverage high-supplier cities for </w:t>
      </w:r>
      <w:r>
        <w:rPr>
          <w:spacing w:val="-2"/>
          <w:sz w:val="24"/>
        </w:rPr>
        <w:t>efficiency.</w:t>
      </w:r>
    </w:p>
    <w:p>
      <w:pPr>
        <w:pStyle w:val="BodyText"/>
        <w:spacing w:before="273"/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8" w:right="0" w:hanging="311"/>
        <w:jc w:val="left"/>
      </w:pPr>
      <w:r>
        <w:rPr/>
        <w:t>Order </w:t>
      </w:r>
      <w:r>
        <w:rPr>
          <w:spacing w:val="-2"/>
        </w:rPr>
        <w:t>Analysis</w:t>
      </w:r>
    </w:p>
    <w:p>
      <w:pPr>
        <w:pStyle w:val="BodyText"/>
        <w:spacing w:before="271"/>
        <w:ind w:left="57"/>
      </w:pPr>
      <w:r>
        <w:rPr>
          <w:spacing w:val="-2"/>
        </w:rPr>
        <w:t>Insights: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14" w:val="left" w:leader="none"/>
        </w:tabs>
        <w:spacing w:line="491" w:lineRule="auto" w:before="1" w:after="0"/>
        <w:ind w:left="57" w:right="54" w:firstLine="0"/>
        <w:jc w:val="left"/>
        <w:rPr>
          <w:sz w:val="24"/>
        </w:rPr>
      </w:pPr>
      <w:r>
        <w:rPr>
          <w:sz w:val="24"/>
        </w:rPr>
        <w:t>Monthly Order Patterns: Demand steadily grew from 1994 to 1996, peak &gt;180 orders, followed </w:t>
      </w:r>
      <w:r>
        <w:rPr>
          <w:sz w:val="24"/>
        </w:rPr>
        <w:t>by</w:t>
      </w:r>
      <w:r>
        <w:rPr>
          <w:spacing w:val="40"/>
          <w:sz w:val="24"/>
        </w:rPr>
        <w:t> </w:t>
      </w:r>
      <w:r>
        <w:rPr>
          <w:sz w:val="24"/>
        </w:rPr>
        <w:t>a sharp dip to 49 orders (June 1996).</w:t>
      </w:r>
    </w:p>
    <w:p>
      <w:pPr>
        <w:pStyle w:val="ListParagraph"/>
        <w:numPr>
          <w:ilvl w:val="1"/>
          <w:numId w:val="1"/>
        </w:numPr>
        <w:tabs>
          <w:tab w:pos="212" w:val="left" w:leader="none"/>
        </w:tabs>
        <w:spacing w:line="240" w:lineRule="auto" w:before="2" w:after="0"/>
        <w:ind w:left="212" w:right="0" w:hanging="155"/>
        <w:jc w:val="left"/>
        <w:rPr>
          <w:sz w:val="24"/>
        </w:rPr>
      </w:pPr>
      <w:r>
        <w:rPr>
          <w:sz w:val="24"/>
        </w:rPr>
        <w:t>High-Revenue</w:t>
      </w:r>
      <w:r>
        <w:rPr>
          <w:spacing w:val="9"/>
          <w:sz w:val="24"/>
        </w:rPr>
        <w:t> </w:t>
      </w:r>
      <w:r>
        <w:rPr>
          <w:sz w:val="24"/>
        </w:rPr>
        <w:t>Order</w:t>
      </w:r>
      <w:r>
        <w:rPr>
          <w:spacing w:val="9"/>
          <w:sz w:val="24"/>
        </w:rPr>
        <w:t> </w:t>
      </w:r>
      <w:r>
        <w:rPr>
          <w:sz w:val="24"/>
        </w:rPr>
        <w:t>Anomalies:</w:t>
      </w:r>
      <w:r>
        <w:rPr>
          <w:spacing w:val="9"/>
          <w:sz w:val="24"/>
        </w:rPr>
        <w:t> </w:t>
      </w:r>
      <w:r>
        <w:rPr>
          <w:sz w:val="24"/>
        </w:rPr>
        <w:t>SQL</w:t>
      </w:r>
      <w:r>
        <w:rPr>
          <w:spacing w:val="9"/>
          <w:sz w:val="24"/>
        </w:rPr>
        <w:t> </w:t>
      </w:r>
      <w:r>
        <w:rPr>
          <w:sz w:val="24"/>
        </w:rPr>
        <w:t>anomaly</w:t>
      </w:r>
      <w:r>
        <w:rPr>
          <w:spacing w:val="9"/>
          <w:sz w:val="24"/>
        </w:rPr>
        <w:t> </w:t>
      </w:r>
      <w:r>
        <w:rPr>
          <w:sz w:val="24"/>
        </w:rPr>
        <w:t>detection</w:t>
      </w:r>
      <w:r>
        <w:rPr>
          <w:spacing w:val="9"/>
          <w:sz w:val="24"/>
        </w:rPr>
        <w:t> </w:t>
      </w:r>
      <w:r>
        <w:rPr>
          <w:sz w:val="24"/>
        </w:rPr>
        <w:t>identified</w:t>
      </w:r>
      <w:r>
        <w:rPr>
          <w:spacing w:val="9"/>
          <w:sz w:val="24"/>
        </w:rPr>
        <w:t> </w:t>
      </w:r>
      <w:r>
        <w:rPr>
          <w:sz w:val="24"/>
        </w:rPr>
        <w:t>unusually</w:t>
      </w:r>
      <w:r>
        <w:rPr>
          <w:spacing w:val="9"/>
          <w:sz w:val="24"/>
        </w:rPr>
        <w:t> </w:t>
      </w:r>
      <w:r>
        <w:rPr>
          <w:sz w:val="24"/>
        </w:rPr>
        <w:t>high</w:t>
      </w:r>
      <w:r>
        <w:rPr>
          <w:spacing w:val="9"/>
          <w:sz w:val="24"/>
        </w:rPr>
        <w:t> </w:t>
      </w:r>
      <w:r>
        <w:rPr>
          <w:sz w:val="24"/>
        </w:rPr>
        <w:t>revenue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orders,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560" w:bottom="280" w:left="566" w:right="566"/>
        </w:sectPr>
      </w:pPr>
    </w:p>
    <w:p>
      <w:pPr>
        <w:pStyle w:val="BodyText"/>
        <w:spacing w:line="491" w:lineRule="auto" w:before="79"/>
        <w:ind w:left="57" w:right="4799"/>
      </w:pPr>
      <w:r>
        <w:rPr/>
        <w:t>indicating</w:t>
      </w:r>
      <w:r>
        <w:rPr>
          <w:spacing w:val="-7"/>
        </w:rPr>
        <w:t> </w:t>
      </w:r>
      <w:r>
        <w:rPr/>
        <w:t>bulk</w:t>
      </w:r>
      <w:r>
        <w:rPr>
          <w:spacing w:val="-7"/>
        </w:rPr>
        <w:t> </w:t>
      </w:r>
      <w:r>
        <w:rPr/>
        <w:t>purchases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high-value</w:t>
      </w:r>
      <w:r>
        <w:rPr>
          <w:spacing w:val="-7"/>
        </w:rPr>
        <w:t> </w:t>
      </w:r>
      <w:r>
        <w:rPr/>
        <w:t>items. Actionable Takeaways: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3" w:after="0"/>
        <w:ind w:left="203" w:right="0" w:hanging="146"/>
        <w:jc w:val="left"/>
        <w:rPr>
          <w:sz w:val="24"/>
        </w:rPr>
      </w:pPr>
      <w:r>
        <w:rPr>
          <w:sz w:val="24"/>
        </w:rPr>
        <w:t>Prepare for seasonal demand shifts</w:t>
      </w:r>
      <w:r>
        <w:rPr>
          <w:spacing w:val="66"/>
          <w:sz w:val="24"/>
        </w:rPr>
        <w:t> </w:t>
      </w:r>
      <w:r>
        <w:rPr>
          <w:sz w:val="24"/>
        </w:rPr>
        <w:t>stock </w:t>
      </w:r>
      <w:r>
        <w:rPr>
          <w:spacing w:val="-2"/>
          <w:sz w:val="24"/>
        </w:rPr>
        <w:t>accordingly.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Investigate high-revenue order sources for upsell &amp; cross-sell </w:t>
      </w:r>
      <w:r>
        <w:rPr>
          <w:spacing w:val="-2"/>
          <w:sz w:val="24"/>
        </w:rPr>
        <w:t>opportunities.</w:t>
      </w:r>
    </w:p>
    <w:p>
      <w:pPr>
        <w:pStyle w:val="BodyText"/>
        <w:spacing w:before="272"/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8" w:right="0" w:hanging="311"/>
        <w:jc w:val="left"/>
      </w:pPr>
      <w:r>
        <w:rPr/>
        <w:t>Sales </w:t>
      </w:r>
      <w:r>
        <w:rPr>
          <w:spacing w:val="-2"/>
        </w:rPr>
        <w:t>Analysis</w:t>
      </w:r>
    </w:p>
    <w:p>
      <w:pPr>
        <w:pStyle w:val="BodyText"/>
        <w:spacing w:before="271"/>
        <w:ind w:left="57"/>
      </w:pPr>
      <w:r>
        <w:rPr>
          <w:spacing w:val="-2"/>
        </w:rPr>
        <w:t>Insights: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23" w:val="left" w:leader="none"/>
        </w:tabs>
        <w:spacing w:line="491" w:lineRule="auto" w:before="0" w:after="0"/>
        <w:ind w:left="57" w:right="55" w:firstLine="0"/>
        <w:jc w:val="left"/>
        <w:rPr>
          <w:sz w:val="24"/>
        </w:rPr>
      </w:pPr>
      <w:r>
        <w:rPr>
          <w:sz w:val="24"/>
        </w:rPr>
        <w:t>Top Performing Markets: France, Germany, USA contribute significantly to sales due to high </w:t>
      </w:r>
      <w:r>
        <w:rPr>
          <w:sz w:val="24"/>
        </w:rPr>
        <w:t>avg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prices.</w:t>
      </w:r>
    </w:p>
    <w:p>
      <w:pPr>
        <w:pStyle w:val="ListParagraph"/>
        <w:numPr>
          <w:ilvl w:val="1"/>
          <w:numId w:val="1"/>
        </w:numPr>
        <w:tabs>
          <w:tab w:pos="223" w:val="left" w:leader="none"/>
        </w:tabs>
        <w:spacing w:line="240" w:lineRule="auto" w:before="2" w:after="0"/>
        <w:ind w:left="223" w:right="0" w:hanging="166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20"/>
          <w:sz w:val="24"/>
        </w:rPr>
        <w:t> </w:t>
      </w:r>
      <w:r>
        <w:rPr>
          <w:sz w:val="24"/>
        </w:rPr>
        <w:t>Category</w:t>
      </w:r>
      <w:r>
        <w:rPr>
          <w:spacing w:val="20"/>
          <w:sz w:val="24"/>
        </w:rPr>
        <w:t> </w:t>
      </w:r>
      <w:r>
        <w:rPr>
          <w:sz w:val="24"/>
        </w:rPr>
        <w:t>Distribution:</w:t>
      </w:r>
      <w:r>
        <w:rPr>
          <w:spacing w:val="20"/>
          <w:sz w:val="24"/>
        </w:rPr>
        <w:t> </w:t>
      </w:r>
      <w:r>
        <w:rPr>
          <w:sz w:val="24"/>
        </w:rPr>
        <w:t>Category</w:t>
      </w:r>
      <w:r>
        <w:rPr>
          <w:spacing w:val="20"/>
          <w:sz w:val="24"/>
        </w:rPr>
        <w:t> </w:t>
      </w:r>
      <w:r>
        <w:rPr>
          <w:sz w:val="24"/>
        </w:rPr>
        <w:t>3</w:t>
      </w:r>
      <w:r>
        <w:rPr>
          <w:spacing w:val="20"/>
          <w:sz w:val="24"/>
        </w:rPr>
        <w:t> </w:t>
      </w:r>
      <w:r>
        <w:rPr>
          <w:sz w:val="24"/>
        </w:rPr>
        <w:t>&amp;</w:t>
      </w:r>
      <w:r>
        <w:rPr>
          <w:spacing w:val="20"/>
          <w:sz w:val="24"/>
        </w:rPr>
        <w:t> </w:t>
      </w:r>
      <w:r>
        <w:rPr>
          <w:sz w:val="24"/>
        </w:rPr>
        <w:t>8</w:t>
      </w:r>
      <w:r>
        <w:rPr>
          <w:spacing w:val="20"/>
          <w:sz w:val="24"/>
        </w:rPr>
        <w:t> </w:t>
      </w:r>
      <w:r>
        <w:rPr>
          <w:sz w:val="24"/>
        </w:rPr>
        <w:t>lead</w:t>
      </w:r>
      <w:r>
        <w:rPr>
          <w:spacing w:val="20"/>
          <w:sz w:val="24"/>
        </w:rPr>
        <w:t> </w:t>
      </w:r>
      <w:r>
        <w:rPr>
          <w:sz w:val="24"/>
        </w:rPr>
        <w:t>with</w:t>
      </w:r>
      <w:r>
        <w:rPr>
          <w:spacing w:val="20"/>
          <w:sz w:val="24"/>
        </w:rPr>
        <w:t> </w:t>
      </w:r>
      <w:r>
        <w:rPr>
          <w:sz w:val="24"/>
        </w:rPr>
        <w:t>13</w:t>
      </w:r>
      <w:r>
        <w:rPr>
          <w:spacing w:val="20"/>
          <w:sz w:val="24"/>
        </w:rPr>
        <w:t> </w:t>
      </w:r>
      <w:r>
        <w:rPr>
          <w:sz w:val="24"/>
        </w:rPr>
        <w:t>&amp;</w:t>
      </w:r>
      <w:r>
        <w:rPr>
          <w:spacing w:val="20"/>
          <w:sz w:val="24"/>
        </w:rPr>
        <w:t> </w:t>
      </w:r>
      <w:r>
        <w:rPr>
          <w:sz w:val="24"/>
        </w:rPr>
        <w:t>12</w:t>
      </w:r>
      <w:r>
        <w:rPr>
          <w:spacing w:val="20"/>
          <w:sz w:val="24"/>
        </w:rPr>
        <w:t> </w:t>
      </w:r>
      <w:r>
        <w:rPr>
          <w:sz w:val="24"/>
        </w:rPr>
        <w:t>suppliers,</w:t>
      </w:r>
      <w:r>
        <w:rPr>
          <w:spacing w:val="20"/>
          <w:sz w:val="24"/>
        </w:rPr>
        <w:t> </w:t>
      </w:r>
      <w:r>
        <w:rPr>
          <w:sz w:val="24"/>
        </w:rPr>
        <w:t>while</w:t>
      </w:r>
      <w:r>
        <w:rPr>
          <w:spacing w:val="20"/>
          <w:sz w:val="24"/>
        </w:rPr>
        <w:t> </w:t>
      </w:r>
      <w:r>
        <w:rPr>
          <w:sz w:val="24"/>
        </w:rPr>
        <w:t>Category</w:t>
      </w:r>
      <w:r>
        <w:rPr>
          <w:spacing w:val="20"/>
          <w:sz w:val="24"/>
        </w:rPr>
        <w:t> </w:t>
      </w:r>
      <w:r>
        <w:rPr>
          <w:sz w:val="24"/>
        </w:rPr>
        <w:t>6</w:t>
      </w:r>
      <w:r>
        <w:rPr>
          <w:spacing w:val="20"/>
          <w:sz w:val="24"/>
        </w:rPr>
        <w:t> </w:t>
      </w:r>
      <w:r>
        <w:rPr>
          <w:sz w:val="24"/>
        </w:rPr>
        <w:t>&amp;</w:t>
      </w:r>
      <w:r>
        <w:rPr>
          <w:spacing w:val="20"/>
          <w:sz w:val="24"/>
        </w:rPr>
        <w:t> </w:t>
      </w:r>
      <w:r>
        <w:rPr>
          <w:spacing w:val="-10"/>
          <w:sz w:val="24"/>
        </w:rPr>
        <w:t>7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57" w:right="5880"/>
      </w:pPr>
      <w:r>
        <w:rPr/>
        <w:t>underrepresented</w:t>
      </w:r>
      <w:r>
        <w:rPr>
          <w:spacing w:val="-9"/>
        </w:rPr>
        <w:t> </w:t>
      </w:r>
      <w:r>
        <w:rPr/>
        <w:t>(6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5</w:t>
      </w:r>
      <w:r>
        <w:rPr>
          <w:spacing w:val="-9"/>
        </w:rPr>
        <w:t> </w:t>
      </w:r>
      <w:r>
        <w:rPr/>
        <w:t>suppliers). Actionable Takeaways:</w:t>
      </w: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3" w:after="0"/>
        <w:ind w:left="203" w:right="0" w:hanging="146"/>
        <w:jc w:val="left"/>
        <w:rPr>
          <w:sz w:val="24"/>
        </w:rPr>
      </w:pPr>
      <w:r>
        <w:rPr>
          <w:sz w:val="24"/>
        </w:rPr>
        <w:t>Push high-margin products in premium markets (France, </w:t>
      </w:r>
      <w:r>
        <w:rPr>
          <w:spacing w:val="-2"/>
          <w:sz w:val="24"/>
        </w:rPr>
        <w:t>Germany).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1" w:after="0"/>
        <w:ind w:left="203" w:right="0" w:hanging="146"/>
        <w:jc w:val="left"/>
        <w:rPr>
          <w:sz w:val="24"/>
        </w:rPr>
      </w:pPr>
      <w:r>
        <w:rPr>
          <w:sz w:val="24"/>
        </w:rPr>
        <w:t>Expand supplier network in low-supplier categories (6 &amp; 7) to avoid missed </w:t>
      </w:r>
      <w:r>
        <w:rPr>
          <w:spacing w:val="-2"/>
          <w:sz w:val="24"/>
        </w:rPr>
        <w:t>sales.</w:t>
      </w:r>
    </w:p>
    <w:p>
      <w:pPr>
        <w:pStyle w:val="BodyText"/>
        <w:spacing w:before="272"/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8" w:right="0" w:hanging="311"/>
        <w:jc w:val="left"/>
      </w:pPr>
      <w:r>
        <w:rPr/>
        <w:t>Supply </w:t>
      </w:r>
      <w:r>
        <w:rPr>
          <w:spacing w:val="-2"/>
        </w:rPr>
        <w:t>Analysis</w:t>
      </w:r>
    </w:p>
    <w:p>
      <w:pPr>
        <w:pStyle w:val="BodyText"/>
        <w:spacing w:before="271"/>
        <w:ind w:left="57"/>
      </w:pPr>
      <w:r>
        <w:rPr>
          <w:spacing w:val="-2"/>
        </w:rPr>
        <w:t>Insights: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Top Supplier Cities: London &amp; Albuquerque (27 suppliers each)</w:t>
      </w:r>
      <w:r>
        <w:rPr>
          <w:spacing w:val="66"/>
          <w:sz w:val="24"/>
        </w:rPr>
        <w:t> </w:t>
      </w:r>
      <w:r>
        <w:rPr>
          <w:sz w:val="24"/>
        </w:rPr>
        <w:t>strong sourcing </w:t>
      </w:r>
      <w:r>
        <w:rPr>
          <w:spacing w:val="-2"/>
          <w:sz w:val="24"/>
        </w:rPr>
        <w:t>hubs.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30" w:val="left" w:leader="none"/>
        </w:tabs>
        <w:spacing w:line="491" w:lineRule="auto" w:before="0" w:after="0"/>
        <w:ind w:left="57" w:right="54" w:firstLine="0"/>
        <w:jc w:val="left"/>
        <w:rPr>
          <w:sz w:val="24"/>
        </w:rPr>
      </w:pPr>
      <w:r>
        <w:rPr>
          <w:sz w:val="24"/>
        </w:rPr>
        <w:t>Country-Wise Sourcing Efficiency: Low-price sourcing in Brazil ($4.50 avg) &amp; Singapore ($26.48</w:t>
      </w:r>
      <w:r>
        <w:rPr>
          <w:spacing w:val="80"/>
          <w:sz w:val="24"/>
        </w:rPr>
        <w:t> </w:t>
      </w:r>
      <w:r>
        <w:rPr>
          <w:sz w:val="24"/>
        </w:rPr>
        <w:t>avg); High-price sourcing in France ($198.50 avg).</w:t>
      </w:r>
    </w:p>
    <w:p>
      <w:pPr>
        <w:pStyle w:val="BodyText"/>
        <w:spacing w:before="2"/>
        <w:ind w:left="57"/>
      </w:pPr>
      <w:r>
        <w:rPr/>
        <w:t>Actionable </w:t>
      </w:r>
      <w:r>
        <w:rPr>
          <w:spacing w:val="-2"/>
        </w:rPr>
        <w:t>Takeaways: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Optimize procurement from low-price regions to improve </w:t>
      </w:r>
      <w:r>
        <w:rPr>
          <w:spacing w:val="-2"/>
          <w:sz w:val="24"/>
        </w:rPr>
        <w:t>margins.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Negotiate competitive contracts in supplier-dense </w:t>
      </w:r>
      <w:r>
        <w:rPr>
          <w:spacing w:val="-2"/>
          <w:sz w:val="24"/>
        </w:rPr>
        <w:t>cities.</w:t>
      </w:r>
    </w:p>
    <w:sectPr>
      <w:pgSz w:w="11910" w:h="16840"/>
      <w:pgMar w:top="6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9" w:hanging="312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57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4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1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8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5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9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8" w:hanging="31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3" w:hanging="14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2025-07-16T11:43:42Z</dcterms:created>
  <dcterms:modified xsi:type="dcterms:W3CDTF">2025-07-16T11:43:42Z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2025-07-16T00:00:00Z</vt:filetime>
  </property>
</Properties>
</file>