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5</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Feature Development with Branching: Implement the first core workflow of the Customer Review Moderation Portal on a feature branch. Use add, commit, push, pull and logs. Raise a pull request, review changes and merge into the development branch.</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Laptop / PC (x86_64), 16 GB RAM, 512 GB NVMe SSD, Quad-Core CPU (Intel Core i5/i7 or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Git 2.51.windows.1, GitHub Cloud Platform, Oracle JDK 21 LTS, Apache Maven 3.9.x, Spring Boot 3.3.4, VS Code / IntelliJ IDEA, Edge Browser</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Introduction and feature branching collaboration rationale</w:t>
            </w:r>
          </w:p>
          <w:p>
            <w:pPr>
              <w:spacing w:before="20" w:after="60" w:line="276" w:lineRule="auto"/>
            </w:pPr>
            <w:r>
              <w:rPr>
                <w:rFonts w:ascii="Calibri" w:hAnsi="Calibri"/>
                <w:sz w:val="22"/>
              </w:rPr>
              <w:t>In high-velocity DevOps environments, trunk stability and continuous delivery depend fundamentally on feature branch isolation. Without disciplined branch management, concurrent developer commits pollute shared baselines, introduce untracked regressions, and impede automated CI/CD pipeline triggers. By enforcing a feature-branching lifecycle, every new capability is developed in complete isolation, verified through automated unit test suites, peer-reviewed via formal Pull Requests (PRs), and merged into the integration branch through non-fast-forward merge commits that preserve atomic audit histories.</w:t>
            </w:r>
          </w:p>
          <w:p>
            <w:pPr>
              <w:spacing w:before="20" w:after="60" w:line="276" w:lineRule="auto"/>
            </w:pPr>
            <w:r>
              <w:rPr>
                <w:rFonts w:ascii="Calibri" w:hAnsi="Calibri"/>
                <w:sz w:val="22"/>
              </w:rPr>
              <w:t>The objective of Task 5 is to implement Feature 1 (Core Review Ingestion and Automated Anti-Spam Heuristic Pipeline) of the Customer Review Moderation Portal (CRMP) on a dedicated branch ('feature/review-ingestion'). Operating under the academic guidance of Dr. Snehal Andhare and the identity of Rushikesh Gawade (Roll No: 23102A0052), I implemented the complete Git collaboration lifecycle: branching off 'dev', executing atomic Conventional Commits, writing automated JUnit 5 tests, pushing the branch live to GitHub, documenting a comprehensive Pull Request with DoD checklists, performing peer review verification, and executing a non-fast-forward merge ('git merge --no-ff') back into 'dev'.</w:t>
            </w:r>
          </w:p>
          <w:p>
            <w:pPr>
              <w:keepNext/>
              <w:spacing w:before="160" w:after="60" w:line="276" w:lineRule="auto"/>
            </w:pPr>
            <w:r>
              <w:rPr>
                <w:rFonts w:ascii="Calibri" w:hAnsi="Calibri"/>
                <w:b/>
                <w:sz w:val="24"/>
              </w:rPr>
              <w:t>Feature 1 architecture: Automated review ingestion and spam detection engine</w:t>
            </w:r>
          </w:p>
          <w:p>
            <w:pPr>
              <w:spacing w:before="20" w:after="60" w:line="276" w:lineRule="auto"/>
            </w:pPr>
            <w:r>
              <w:rPr>
                <w:rFonts w:ascii="Calibri" w:hAnsi="Calibri"/>
                <w:sz w:val="22"/>
              </w:rPr>
              <w:t>Feature 1 constitutes the foundational input gateway for the CRMP platform. It transitions the portal from a static submission form to an intelligent ingestion pipeline equipped with real-time heuristic spam detection, automated state assignment, and interactive client-side input validation:</w:t>
            </w:r>
          </w:p>
          <w:p>
            <w:pPr>
              <w:spacing w:before="20" w:after="60" w:line="276" w:lineRule="auto"/>
            </w:pPr>
            <w:r>
              <w:rPr>
                <w:rFonts w:ascii="Calibri" w:hAnsi="Calibri"/>
                <w:b/>
                <w:sz w:val="22"/>
              </w:rPr>
              <w:t xml:space="preserve">• </w:t>
            </w:r>
            <w:r>
              <w:rPr>
                <w:rFonts w:ascii="Calibri" w:hAnsi="Calibri"/>
                <w:sz w:val="22"/>
              </w:rPr>
              <w:t>1. Heuristic Anti-Spam Screening (SpamDetectionService.java): Implements algorithmic tokenization, case-insensitive keyword scanning against a curated blocklist (e.g., 'free casino', 'buy crypto', 'wire transfer', '100% free money', 'guaranteed profit'), and character entropy checks to identify deceptive reviews.</w:t>
            </w:r>
          </w:p>
          <w:p>
            <w:pPr>
              <w:spacing w:before="20" w:after="60" w:line="276" w:lineRule="auto"/>
            </w:pPr>
            <w:r>
              <w:rPr>
                <w:rFonts w:ascii="Calibri" w:hAnsi="Calibri"/>
                <w:b/>
                <w:sz w:val="22"/>
              </w:rPr>
              <w:t xml:space="preserve">• </w:t>
            </w:r>
            <w:r>
              <w:rPr>
                <w:rFonts w:ascii="Calibri" w:hAnsi="Calibri"/>
                <w:sz w:val="22"/>
              </w:rPr>
              <w:t>2. Automated Status Triage: If a submitted review contains spam markers, the system automatically tags it as FLAGGED with a designated internal reason, preventing spam from contaminating the public queue while routing it for moderator audit.</w:t>
            </w:r>
          </w:p>
          <w:p>
            <w:pPr>
              <w:spacing w:before="20" w:after="60" w:line="276" w:lineRule="auto"/>
            </w:pPr>
            <w:r>
              <w:rPr>
                <w:rFonts w:ascii="Calibri" w:hAnsi="Calibri"/>
                <w:b/>
                <w:sz w:val="22"/>
              </w:rPr>
              <w:t xml:space="preserve">• </w:t>
            </w:r>
            <w:r>
              <w:rPr>
                <w:rFonts w:ascii="Calibri" w:hAnsi="Calibri"/>
                <w:sz w:val="22"/>
              </w:rPr>
              <w:t>3. Interactive Submission UI (submit.html): Enhanced with a real-time JavaScript character counter (0 / 1000 characters) and a security disclaimer warning reviewers against automated promotional content.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2000" w:type="dxa"/>
                  <w:shd w:fill="EAECEE"/>
                </w:tcPr>
                <w:p>
                  <w:pPr>
                    <w:spacing w:before="40" w:after="40" w:line="276" w:lineRule="auto"/>
                    <w:jc w:val="left"/>
                  </w:pPr>
                  <w:r>
                    <w:rPr>
                      <w:rFonts w:ascii="Calibri" w:hAnsi="Calibri"/>
                      <w:b/>
                      <w:sz w:val="19"/>
                    </w:rPr>
                    <w:t>Component / Class</w:t>
                  </w:r>
                </w:p>
              </w:tc>
              <w:tc>
                <w:tcPr>
                  <w:tcW w:w="2900" w:type="dxa"/>
                  <w:shd w:fill="EAECEE"/>
                </w:tcPr>
                <w:p>
                  <w:pPr>
                    <w:spacing w:before="40" w:after="40" w:line="276" w:lineRule="auto"/>
                    <w:jc w:val="left"/>
                  </w:pPr>
                  <w:r>
                    <w:rPr>
                      <w:rFonts w:ascii="Calibri" w:hAnsi="Calibri"/>
                      <w:b/>
                      <w:sz w:val="19"/>
                    </w:rPr>
                    <w:t>Layer &amp; Architectural Role</w:t>
                  </w:r>
                </w:p>
              </w:tc>
              <w:tc>
                <w:tcPr>
                  <w:tcW w:w="3000" w:type="dxa"/>
                  <w:shd w:fill="EAECEE"/>
                </w:tcPr>
                <w:p>
                  <w:pPr>
                    <w:spacing w:before="40" w:after="40" w:line="276" w:lineRule="auto"/>
                    <w:jc w:val="left"/>
                  </w:pPr>
                  <w:r>
                    <w:rPr>
                      <w:rFonts w:ascii="Calibri" w:hAnsi="Calibri"/>
                      <w:b/>
                      <w:sz w:val="19"/>
                    </w:rPr>
                    <w:t>DevOps &amp; Governance Function</w:t>
                  </w:r>
                </w:p>
              </w:tc>
            </w:tr>
            <w:tr>
              <w:trPr>
                <w:cantSplit/>
              </w:trPr>
              <w:tc>
                <w:tcPr>
                  <w:tcW w:w="2000" w:type="dxa"/>
                </w:tcPr>
                <w:p>
                  <w:pPr>
                    <w:spacing w:before="40" w:after="40" w:line="276" w:lineRule="auto"/>
                    <w:jc w:val="left"/>
                  </w:pPr>
                  <w:r>
                    <w:rPr>
                      <w:rFonts w:ascii="Calibri" w:hAnsi="Calibri"/>
                      <w:b w:val="0"/>
                      <w:sz w:val="17"/>
                    </w:rPr>
                    <w:t>SpamDetectionService.java</w:t>
                  </w:r>
                </w:p>
              </w:tc>
              <w:tc>
                <w:tcPr>
                  <w:tcW w:w="2900" w:type="dxa"/>
                </w:tcPr>
                <w:p>
                  <w:pPr>
                    <w:spacing w:before="40" w:after="40" w:line="276" w:lineRule="auto"/>
                    <w:jc w:val="left"/>
                  </w:pPr>
                  <w:r>
                    <w:rPr>
                      <w:rFonts w:ascii="Calibri" w:hAnsi="Calibri"/>
                      <w:b w:val="0"/>
                      <w:sz w:val="17"/>
                    </w:rPr>
                    <w:t>Service Layer (Heuristics)</w:t>
                  </w:r>
                </w:p>
              </w:tc>
              <w:tc>
                <w:tcPr>
                  <w:tcW w:w="3000" w:type="dxa"/>
                </w:tcPr>
                <w:p>
                  <w:pPr>
                    <w:spacing w:before="40" w:after="40" w:line="276" w:lineRule="auto"/>
                    <w:jc w:val="left"/>
                  </w:pPr>
                  <w:r>
                    <w:rPr>
                      <w:rFonts w:ascii="Calibri" w:hAnsi="Calibri"/>
                      <w:b w:val="0"/>
                      <w:sz w:val="17"/>
                    </w:rPr>
                    <w:t>Evaluates review title and comment against promotional keywords; calculates spam score and returns boolean detection.</w:t>
                  </w:r>
                </w:p>
              </w:tc>
            </w:tr>
            <w:tr>
              <w:trPr>
                <w:cantSplit/>
              </w:trPr>
              <w:tc>
                <w:tcPr>
                  <w:tcW w:w="2000" w:type="dxa"/>
                </w:tcPr>
                <w:p>
                  <w:pPr>
                    <w:spacing w:before="40" w:after="40" w:line="276" w:lineRule="auto"/>
                    <w:jc w:val="left"/>
                  </w:pPr>
                  <w:r>
                    <w:rPr>
                      <w:rFonts w:ascii="Calibri" w:hAnsi="Calibri"/>
                      <w:b w:val="0"/>
                      <w:sz w:val="17"/>
                    </w:rPr>
                    <w:t>ReviewService.java</w:t>
                  </w:r>
                </w:p>
              </w:tc>
              <w:tc>
                <w:tcPr>
                  <w:tcW w:w="2900" w:type="dxa"/>
                </w:tcPr>
                <w:p>
                  <w:pPr>
                    <w:spacing w:before="40" w:after="40" w:line="276" w:lineRule="auto"/>
                    <w:jc w:val="left"/>
                  </w:pPr>
                  <w:r>
                    <w:rPr>
                      <w:rFonts w:ascii="Calibri" w:hAnsi="Calibri"/>
                      <w:b w:val="0"/>
                      <w:sz w:val="17"/>
                    </w:rPr>
                    <w:t>Business Logic Layer</w:t>
                  </w:r>
                </w:p>
              </w:tc>
              <w:tc>
                <w:tcPr>
                  <w:tcW w:w="3000" w:type="dxa"/>
                </w:tcPr>
                <w:p>
                  <w:pPr>
                    <w:spacing w:before="40" w:after="40" w:line="276" w:lineRule="auto"/>
                    <w:jc w:val="left"/>
                  </w:pPr>
                  <w:r>
                    <w:rPr>
                      <w:rFonts w:ascii="Calibri" w:hAnsi="Calibri"/>
                      <w:b w:val="0"/>
                      <w:sz w:val="17"/>
                    </w:rPr>
                    <w:t>Intercepts submission, executes spam screening, assigns initial status (PENDING or FLAGGED), and persists to H2 repository.</w:t>
                  </w:r>
                </w:p>
              </w:tc>
            </w:tr>
            <w:tr>
              <w:trPr>
                <w:cantSplit/>
              </w:trPr>
              <w:tc>
                <w:tcPr>
                  <w:tcW w:w="2000" w:type="dxa"/>
                </w:tcPr>
                <w:p>
                  <w:pPr>
                    <w:spacing w:before="40" w:after="40" w:line="276" w:lineRule="auto"/>
                    <w:jc w:val="left"/>
                  </w:pPr>
                  <w:r>
                    <w:rPr>
                      <w:rFonts w:ascii="Calibri" w:hAnsi="Calibri"/>
                      <w:b w:val="0"/>
                      <w:sz w:val="17"/>
                    </w:rPr>
                    <w:t>submit.html</w:t>
                  </w:r>
                </w:p>
              </w:tc>
              <w:tc>
                <w:tcPr>
                  <w:tcW w:w="2900" w:type="dxa"/>
                </w:tcPr>
                <w:p>
                  <w:pPr>
                    <w:spacing w:before="40" w:after="40" w:line="276" w:lineRule="auto"/>
                    <w:jc w:val="left"/>
                  </w:pPr>
                  <w:r>
                    <w:rPr>
                      <w:rFonts w:ascii="Calibri" w:hAnsi="Calibri"/>
                      <w:b w:val="0"/>
                      <w:sz w:val="17"/>
                    </w:rPr>
                    <w:t>Thymeleaf Presentation Layer</w:t>
                  </w:r>
                </w:p>
              </w:tc>
              <w:tc>
                <w:tcPr>
                  <w:tcW w:w="3000" w:type="dxa"/>
                </w:tcPr>
                <w:p>
                  <w:pPr>
                    <w:spacing w:before="40" w:after="40" w:line="276" w:lineRule="auto"/>
                    <w:jc w:val="left"/>
                  </w:pPr>
                  <w:r>
                    <w:rPr>
                      <w:rFonts w:ascii="Calibri" w:hAnsi="Calibri"/>
                      <w:b w:val="0"/>
                      <w:sz w:val="17"/>
                    </w:rPr>
                    <w:t>Responsive Bootstrap 5 form with dynamic character counter, star-rating selector, and automated anti-spam policy disclaimer.</w:t>
                  </w:r>
                </w:p>
              </w:tc>
            </w:tr>
            <w:tr>
              <w:trPr>
                <w:cantSplit/>
              </w:trPr>
              <w:tc>
                <w:tcPr>
                  <w:tcW w:w="2000" w:type="dxa"/>
                </w:tcPr>
                <w:p>
                  <w:pPr>
                    <w:spacing w:before="40" w:after="40" w:line="276" w:lineRule="auto"/>
                    <w:jc w:val="left"/>
                  </w:pPr>
                  <w:r>
                    <w:rPr>
                      <w:rFonts w:ascii="Calibri" w:hAnsi="Calibri"/>
                      <w:b w:val="0"/>
                      <w:sz w:val="17"/>
                    </w:rPr>
                    <w:t>SpamDetectionServiceTest.java</w:t>
                  </w:r>
                </w:p>
              </w:tc>
              <w:tc>
                <w:tcPr>
                  <w:tcW w:w="2900" w:type="dxa"/>
                </w:tcPr>
                <w:p>
                  <w:pPr>
                    <w:spacing w:before="40" w:after="40" w:line="276" w:lineRule="auto"/>
                    <w:jc w:val="left"/>
                  </w:pPr>
                  <w:r>
                    <w:rPr>
                      <w:rFonts w:ascii="Calibri" w:hAnsi="Calibri"/>
                      <w:b w:val="0"/>
                      <w:sz w:val="17"/>
                    </w:rPr>
                    <w:t>Surefire Automated Unit Tests</w:t>
                  </w:r>
                </w:p>
              </w:tc>
              <w:tc>
                <w:tcPr>
                  <w:tcW w:w="3000" w:type="dxa"/>
                </w:tcPr>
                <w:p>
                  <w:pPr>
                    <w:spacing w:before="40" w:after="40" w:line="276" w:lineRule="auto"/>
                    <w:jc w:val="left"/>
                  </w:pPr>
                  <w:r>
                    <w:rPr>
                      <w:rFonts w:ascii="Calibri" w:hAnsi="Calibri"/>
                      <w:b w:val="0"/>
                      <w:sz w:val="17"/>
                    </w:rPr>
                    <w:t>JUnit 5 test suite verifying spam detection on deceptive text, clean review approval, and case-insensitive keyword handling.</w:t>
                  </w:r>
                </w:p>
              </w:tc>
            </w:tr>
          </w:tbl>
          <w:p/>
          <w:p>
            <w:pPr>
              <w:keepNext/>
              <w:spacing w:before="160" w:after="60" w:line="276" w:lineRule="auto"/>
            </w:pPr>
            <w:r>
              <w:rPr>
                <w:rFonts w:ascii="Calibri" w:hAnsi="Calibri"/>
                <w:b/>
                <w:sz w:val="24"/>
              </w:rPr>
              <w:t>Git feature branching lifecycle and command execution trace</w:t>
            </w:r>
          </w:p>
          <w:p>
            <w:pPr>
              <w:spacing w:before="20" w:after="60" w:line="276" w:lineRule="auto"/>
            </w:pPr>
            <w:r>
              <w:rPr>
                <w:rFonts w:ascii="Calibri" w:hAnsi="Calibri"/>
                <w:sz w:val="22"/>
              </w:rPr>
              <w:t>The engineering workflow follows the Git Flow / GitHub Flow model. The table below documents the chronological execution trace executed in PowerShell to develop, test, push, and merge Feature 1:</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Git Lifecycle Stage</w:t>
                  </w:r>
                </w:p>
              </w:tc>
              <w:tc>
                <w:tcPr>
                  <w:tcW w:w="2000" w:type="dxa"/>
                  <w:shd w:fill="EAECEE"/>
                </w:tcPr>
                <w:p>
                  <w:pPr>
                    <w:spacing w:before="40" w:after="40" w:line="276" w:lineRule="auto"/>
                    <w:jc w:val="left"/>
                  </w:pPr>
                  <w:r>
                    <w:rPr>
                      <w:rFonts w:ascii="Calibri" w:hAnsi="Calibri"/>
                      <w:b/>
                      <w:sz w:val="19"/>
                    </w:rPr>
                    <w:t>PowerShell Command Executed</w:t>
                  </w:r>
                </w:p>
              </w:tc>
              <w:tc>
                <w:tcPr>
                  <w:tcW w:w="2500" w:type="dxa"/>
                  <w:shd w:fill="EAECEE"/>
                </w:tcPr>
                <w:p>
                  <w:pPr>
                    <w:spacing w:before="40" w:after="40" w:line="276" w:lineRule="auto"/>
                    <w:jc w:val="left"/>
                  </w:pPr>
                  <w:r>
                    <w:rPr>
                      <w:rFonts w:ascii="Calibri" w:hAnsi="Calibri"/>
                      <w:b/>
                      <w:sz w:val="19"/>
                    </w:rPr>
                    <w:t>Operational Impact &amp; Behavior</w:t>
                  </w:r>
                </w:p>
              </w:tc>
              <w:tc>
                <w:tcPr>
                  <w:tcW w:w="2000" w:type="dxa"/>
                  <w:shd w:fill="EAECEE"/>
                </w:tcPr>
                <w:p>
                  <w:pPr>
                    <w:spacing w:before="40" w:after="40" w:line="276" w:lineRule="auto"/>
                    <w:jc w:val="left"/>
                  </w:pPr>
                  <w:r>
                    <w:rPr>
                      <w:rFonts w:ascii="Calibri" w:hAnsi="Calibri"/>
                      <w:b/>
                      <w:sz w:val="19"/>
                    </w:rPr>
                    <w:t>DevOps Verification Output</w:t>
                  </w:r>
                </w:p>
              </w:tc>
            </w:tr>
            <w:tr>
              <w:trPr>
                <w:cantSplit/>
              </w:trPr>
              <w:tc>
                <w:tcPr>
                  <w:tcW w:w="1400" w:type="dxa"/>
                </w:tcPr>
                <w:p>
                  <w:pPr>
                    <w:spacing w:before="40" w:after="40" w:line="276" w:lineRule="auto"/>
                    <w:jc w:val="left"/>
                  </w:pPr>
                  <w:r>
                    <w:rPr>
                      <w:rFonts w:ascii="Calibri" w:hAnsi="Calibri"/>
                      <w:b w:val="0"/>
                      <w:sz w:val="17"/>
                    </w:rPr>
                    <w:t>Branch Creation</w:t>
                  </w:r>
                </w:p>
              </w:tc>
              <w:tc>
                <w:tcPr>
                  <w:tcW w:w="2000" w:type="dxa"/>
                </w:tcPr>
                <w:p>
                  <w:pPr>
                    <w:spacing w:before="40" w:after="40" w:line="276" w:lineRule="auto"/>
                    <w:jc w:val="left"/>
                  </w:pPr>
                  <w:r>
                    <w:rPr>
                      <w:rFonts w:ascii="Calibri" w:hAnsi="Calibri"/>
                      <w:b w:val="0"/>
                      <w:sz w:val="17"/>
                    </w:rPr>
                    <w:t>git checkout -b feature/review-ingestion</w:t>
                  </w:r>
                </w:p>
              </w:tc>
              <w:tc>
                <w:tcPr>
                  <w:tcW w:w="2500" w:type="dxa"/>
                </w:tcPr>
                <w:p>
                  <w:pPr>
                    <w:spacing w:before="40" w:after="40" w:line="276" w:lineRule="auto"/>
                    <w:jc w:val="left"/>
                  </w:pPr>
                  <w:r>
                    <w:rPr>
                      <w:rFonts w:ascii="Calibri" w:hAnsi="Calibri"/>
                      <w:b w:val="0"/>
                      <w:sz w:val="17"/>
                    </w:rPr>
                    <w:t>Creates isolated topic branch pointer branching from dev baseline.</w:t>
                  </w:r>
                </w:p>
              </w:tc>
              <w:tc>
                <w:tcPr>
                  <w:tcW w:w="2000" w:type="dxa"/>
                </w:tcPr>
                <w:p>
                  <w:pPr>
                    <w:spacing w:before="40" w:after="40" w:line="276" w:lineRule="auto"/>
                    <w:jc w:val="left"/>
                  </w:pPr>
                  <w:r>
                    <w:rPr>
                      <w:rFonts w:ascii="Calibri" w:hAnsi="Calibri"/>
                      <w:b w:val="0"/>
                      <w:sz w:val="17"/>
                    </w:rPr>
                    <w:t>Switched to a new branch 'feature/review-ingestion'</w:t>
                  </w:r>
                </w:p>
              </w:tc>
            </w:tr>
            <w:tr>
              <w:trPr>
                <w:cantSplit/>
              </w:trPr>
              <w:tc>
                <w:tcPr>
                  <w:tcW w:w="1400" w:type="dxa"/>
                </w:tcPr>
                <w:p>
                  <w:pPr>
                    <w:spacing w:before="40" w:after="40" w:line="276" w:lineRule="auto"/>
                    <w:jc w:val="left"/>
                  </w:pPr>
                  <w:r>
                    <w:rPr>
                      <w:rFonts w:ascii="Calibri" w:hAnsi="Calibri"/>
                      <w:b w:val="0"/>
                      <w:sz w:val="17"/>
                    </w:rPr>
                    <w:t>Work Ingest</w:t>
                  </w:r>
                </w:p>
              </w:tc>
              <w:tc>
                <w:tcPr>
                  <w:tcW w:w="2000" w:type="dxa"/>
                </w:tcPr>
                <w:p>
                  <w:pPr>
                    <w:spacing w:before="40" w:after="40" w:line="276" w:lineRule="auto"/>
                    <w:jc w:val="left"/>
                  </w:pPr>
                  <w:r>
                    <w:rPr>
                      <w:rFonts w:ascii="Calibri" w:hAnsi="Calibri"/>
                      <w:b w:val="0"/>
                      <w:sz w:val="17"/>
                    </w:rPr>
                    <w:t>git status</w:t>
                  </w:r>
                </w:p>
              </w:tc>
              <w:tc>
                <w:tcPr>
                  <w:tcW w:w="2500" w:type="dxa"/>
                </w:tcPr>
                <w:p>
                  <w:pPr>
                    <w:spacing w:before="40" w:after="40" w:line="276" w:lineRule="auto"/>
                    <w:jc w:val="left"/>
                  </w:pPr>
                  <w:r>
                    <w:rPr>
                      <w:rFonts w:ascii="Calibri" w:hAnsi="Calibri"/>
                      <w:b w:val="0"/>
                      <w:sz w:val="17"/>
                    </w:rPr>
                    <w:t>Inspects untracked source files, service classes, and test fixtures.</w:t>
                  </w:r>
                </w:p>
              </w:tc>
              <w:tc>
                <w:tcPr>
                  <w:tcW w:w="2000" w:type="dxa"/>
                </w:tcPr>
                <w:p>
                  <w:pPr>
                    <w:spacing w:before="40" w:after="40" w:line="276" w:lineRule="auto"/>
                    <w:jc w:val="left"/>
                  </w:pPr>
                  <w:r>
                    <w:rPr>
                      <w:rFonts w:ascii="Calibri" w:hAnsi="Calibri"/>
                      <w:b w:val="0"/>
                      <w:sz w:val="17"/>
                    </w:rPr>
                    <w:t>Untracked: SpamDetectionService.java, SpamDetectionServiceTest.java</w:t>
                  </w:r>
                </w:p>
              </w:tc>
            </w:tr>
            <w:tr>
              <w:trPr>
                <w:cantSplit/>
              </w:trPr>
              <w:tc>
                <w:tcPr>
                  <w:tcW w:w="1400" w:type="dxa"/>
                </w:tcPr>
                <w:p>
                  <w:pPr>
                    <w:spacing w:before="40" w:after="40" w:line="276" w:lineRule="auto"/>
                    <w:jc w:val="left"/>
                  </w:pPr>
                  <w:r>
                    <w:rPr>
                      <w:rFonts w:ascii="Calibri" w:hAnsi="Calibri"/>
                      <w:b w:val="0"/>
                      <w:sz w:val="17"/>
                    </w:rPr>
                    <w:t>Staging</w:t>
                  </w:r>
                </w:p>
              </w:tc>
              <w:tc>
                <w:tcPr>
                  <w:tcW w:w="2000" w:type="dxa"/>
                </w:tcPr>
                <w:p>
                  <w:pPr>
                    <w:spacing w:before="40" w:after="40" w:line="276" w:lineRule="auto"/>
                    <w:jc w:val="left"/>
                  </w:pPr>
                  <w:r>
                    <w:rPr>
                      <w:rFonts w:ascii="Calibri" w:hAnsi="Calibri"/>
                      <w:b w:val="0"/>
                      <w:sz w:val="17"/>
                    </w:rPr>
                    <w:t>git add .</w:t>
                  </w:r>
                </w:p>
              </w:tc>
              <w:tc>
                <w:tcPr>
                  <w:tcW w:w="2500" w:type="dxa"/>
                </w:tcPr>
                <w:p>
                  <w:pPr>
                    <w:spacing w:before="40" w:after="40" w:line="276" w:lineRule="auto"/>
                    <w:jc w:val="left"/>
                  </w:pPr>
                  <w:r>
                    <w:rPr>
                      <w:rFonts w:ascii="Calibri" w:hAnsi="Calibri"/>
                      <w:b w:val="0"/>
                      <w:sz w:val="17"/>
                    </w:rPr>
                    <w:t>Stages all modified and new source artifacts into the Git index.</w:t>
                  </w:r>
                </w:p>
              </w:tc>
              <w:tc>
                <w:tcPr>
                  <w:tcW w:w="2000" w:type="dxa"/>
                </w:tcPr>
                <w:p>
                  <w:pPr>
                    <w:spacing w:before="40" w:after="40" w:line="276" w:lineRule="auto"/>
                    <w:jc w:val="left"/>
                  </w:pPr>
                  <w:r>
                    <w:rPr>
                      <w:rFonts w:ascii="Calibri" w:hAnsi="Calibri"/>
                      <w:b w:val="0"/>
                      <w:sz w:val="17"/>
                    </w:rPr>
                    <w:t>Files indexed in staging area.</w:t>
                  </w:r>
                </w:p>
              </w:tc>
            </w:tr>
            <w:tr>
              <w:trPr>
                <w:cantSplit/>
              </w:trPr>
              <w:tc>
                <w:tcPr>
                  <w:tcW w:w="1400" w:type="dxa"/>
                </w:tcPr>
                <w:p>
                  <w:pPr>
                    <w:spacing w:before="40" w:after="40" w:line="276" w:lineRule="auto"/>
                    <w:jc w:val="left"/>
                  </w:pPr>
                  <w:r>
                    <w:rPr>
                      <w:rFonts w:ascii="Calibri" w:hAnsi="Calibri"/>
                      <w:b w:val="0"/>
                      <w:sz w:val="17"/>
                    </w:rPr>
                    <w:t>Feature Commit 1</w:t>
                  </w:r>
                </w:p>
              </w:tc>
              <w:tc>
                <w:tcPr>
                  <w:tcW w:w="2000" w:type="dxa"/>
                </w:tcPr>
                <w:p>
                  <w:pPr>
                    <w:spacing w:before="40" w:after="40" w:line="276" w:lineRule="auto"/>
                    <w:jc w:val="left"/>
                  </w:pPr>
                  <w:r>
                    <w:rPr>
                      <w:rFonts w:ascii="Calibri" w:hAnsi="Calibri"/>
                      <w:b w:val="0"/>
                      <w:sz w:val="17"/>
                    </w:rPr>
                    <w:t>git commit -m "feat: implement automated spam..."</w:t>
                  </w:r>
                </w:p>
              </w:tc>
              <w:tc>
                <w:tcPr>
                  <w:tcW w:w="2500" w:type="dxa"/>
                </w:tcPr>
                <w:p>
                  <w:pPr>
                    <w:spacing w:before="40" w:after="40" w:line="276" w:lineRule="auto"/>
                    <w:jc w:val="left"/>
                  </w:pPr>
                  <w:r>
                    <w:rPr>
                      <w:rFonts w:ascii="Calibri" w:hAnsi="Calibri"/>
                      <w:b w:val="0"/>
                      <w:sz w:val="17"/>
                    </w:rPr>
                    <w:t>Atomic commit of backend heuristic detection engine and service routing.</w:t>
                  </w:r>
                </w:p>
              </w:tc>
              <w:tc>
                <w:tcPr>
                  <w:tcW w:w="2000" w:type="dxa"/>
                </w:tcPr>
                <w:p>
                  <w:pPr>
                    <w:spacing w:before="40" w:after="40" w:line="276" w:lineRule="auto"/>
                    <w:jc w:val="left"/>
                  </w:pPr>
                  <w:r>
                    <w:rPr>
                      <w:rFonts w:ascii="Calibri" w:hAnsi="Calibri"/>
                      <w:b w:val="0"/>
                      <w:sz w:val="17"/>
                    </w:rPr>
                    <w:t>[feature/review-ingestion 72a6fa7] (142 insertions, 8 deletions)</w:t>
                  </w:r>
                </w:p>
              </w:tc>
            </w:tr>
            <w:tr>
              <w:trPr>
                <w:cantSplit/>
              </w:trPr>
              <w:tc>
                <w:tcPr>
                  <w:tcW w:w="1400" w:type="dxa"/>
                </w:tcPr>
                <w:p>
                  <w:pPr>
                    <w:spacing w:before="40" w:after="40" w:line="276" w:lineRule="auto"/>
                    <w:jc w:val="left"/>
                  </w:pPr>
                  <w:r>
                    <w:rPr>
                      <w:rFonts w:ascii="Calibri" w:hAnsi="Calibri"/>
                      <w:b w:val="0"/>
                      <w:sz w:val="17"/>
                    </w:rPr>
                    <w:t>Feature Commit 2</w:t>
                  </w:r>
                </w:p>
              </w:tc>
              <w:tc>
                <w:tcPr>
                  <w:tcW w:w="2000" w:type="dxa"/>
                </w:tcPr>
                <w:p>
                  <w:pPr>
                    <w:spacing w:before="40" w:after="40" w:line="276" w:lineRule="auto"/>
                    <w:jc w:val="left"/>
                  </w:pPr>
                  <w:r>
                    <w:rPr>
                      <w:rFonts w:ascii="Calibri" w:hAnsi="Calibri"/>
                      <w:b w:val="0"/>
                      <w:sz w:val="17"/>
                    </w:rPr>
                    <w:t>git commit -m "feat: enhance submit review form..."</w:t>
                  </w:r>
                </w:p>
              </w:tc>
              <w:tc>
                <w:tcPr>
                  <w:tcW w:w="2500" w:type="dxa"/>
                </w:tcPr>
                <w:p>
                  <w:pPr>
                    <w:spacing w:before="40" w:after="40" w:line="276" w:lineRule="auto"/>
                    <w:jc w:val="left"/>
                  </w:pPr>
                  <w:r>
                    <w:rPr>
                      <w:rFonts w:ascii="Calibri" w:hAnsi="Calibri"/>
                      <w:b w:val="0"/>
                      <w:sz w:val="17"/>
                    </w:rPr>
                    <w:t>Atomic commit of Thymeleaf UI enhancements and live JS character counter.</w:t>
                  </w:r>
                </w:p>
              </w:tc>
              <w:tc>
                <w:tcPr>
                  <w:tcW w:w="2000" w:type="dxa"/>
                </w:tcPr>
                <w:p>
                  <w:pPr>
                    <w:spacing w:before="40" w:after="40" w:line="276" w:lineRule="auto"/>
                    <w:jc w:val="left"/>
                  </w:pPr>
                  <w:r>
                    <w:rPr>
                      <w:rFonts w:ascii="Calibri" w:hAnsi="Calibri"/>
                      <w:b w:val="0"/>
                      <w:sz w:val="17"/>
                    </w:rPr>
                    <w:t>[feature/review-ingestion 47c7d84] (38 insertions, 4 deletions)</w:t>
                  </w:r>
                </w:p>
              </w:tc>
            </w:tr>
            <w:tr>
              <w:trPr>
                <w:cantSplit/>
              </w:trPr>
              <w:tc>
                <w:tcPr>
                  <w:tcW w:w="1400" w:type="dxa"/>
                </w:tcPr>
                <w:p>
                  <w:pPr>
                    <w:spacing w:before="40" w:after="40" w:line="276" w:lineRule="auto"/>
                    <w:jc w:val="left"/>
                  </w:pPr>
                  <w:r>
                    <w:rPr>
                      <w:rFonts w:ascii="Calibri" w:hAnsi="Calibri"/>
                      <w:b w:val="0"/>
                      <w:sz w:val="17"/>
                    </w:rPr>
                    <w:t>Automated Quality Gate</w:t>
                  </w:r>
                </w:p>
              </w:tc>
              <w:tc>
                <w:tcPr>
                  <w:tcW w:w="2000" w:type="dxa"/>
                </w:tcPr>
                <w:p>
                  <w:pPr>
                    <w:spacing w:before="40" w:after="40" w:line="276" w:lineRule="auto"/>
                    <w:jc w:val="left"/>
                  </w:pPr>
                  <w:r>
                    <w:rPr>
                      <w:rFonts w:ascii="Calibri" w:hAnsi="Calibri"/>
                      <w:b w:val="0"/>
                      <w:sz w:val="17"/>
                    </w:rPr>
                    <w:t>mvn test</w:t>
                  </w:r>
                </w:p>
              </w:tc>
              <w:tc>
                <w:tcPr>
                  <w:tcW w:w="2500" w:type="dxa"/>
                </w:tcPr>
                <w:p>
                  <w:pPr>
                    <w:spacing w:before="40" w:after="40" w:line="276" w:lineRule="auto"/>
                    <w:jc w:val="left"/>
                  </w:pPr>
                  <w:r>
                    <w:rPr>
                      <w:rFonts w:ascii="Calibri" w:hAnsi="Calibri"/>
                      <w:b w:val="0"/>
                      <w:sz w:val="17"/>
                    </w:rPr>
                    <w:t>Executes Surefire test harness; asserts 100% test success before remote push.</w:t>
                  </w:r>
                </w:p>
              </w:tc>
              <w:tc>
                <w:tcPr>
                  <w:tcW w:w="2000" w:type="dxa"/>
                </w:tcPr>
                <w:p>
                  <w:pPr>
                    <w:spacing w:before="40" w:after="40" w:line="276" w:lineRule="auto"/>
                    <w:jc w:val="left"/>
                  </w:pPr>
                  <w:r>
                    <w:rPr>
                      <w:rFonts w:ascii="Calibri" w:hAnsi="Calibri"/>
                      <w:b w:val="0"/>
                      <w:sz w:val="17"/>
                    </w:rPr>
                    <w:t>Tests run: 10, Failures: 0, Errors: 0, BUILD SUCCESS</w:t>
                  </w:r>
                </w:p>
              </w:tc>
            </w:tr>
            <w:tr>
              <w:trPr>
                <w:cantSplit/>
              </w:trPr>
              <w:tc>
                <w:tcPr>
                  <w:tcW w:w="1400" w:type="dxa"/>
                </w:tcPr>
                <w:p>
                  <w:pPr>
                    <w:spacing w:before="40" w:after="40" w:line="276" w:lineRule="auto"/>
                    <w:jc w:val="left"/>
                  </w:pPr>
                  <w:r>
                    <w:rPr>
                      <w:rFonts w:ascii="Calibri" w:hAnsi="Calibri"/>
                      <w:b w:val="0"/>
                      <w:sz w:val="17"/>
                    </w:rPr>
                    <w:t>Remote Branch Push</w:t>
                  </w:r>
                </w:p>
              </w:tc>
              <w:tc>
                <w:tcPr>
                  <w:tcW w:w="2000" w:type="dxa"/>
                </w:tcPr>
                <w:p>
                  <w:pPr>
                    <w:spacing w:before="40" w:after="40" w:line="276" w:lineRule="auto"/>
                    <w:jc w:val="left"/>
                  </w:pPr>
                  <w:r>
                    <w:rPr>
                      <w:rFonts w:ascii="Calibri" w:hAnsi="Calibri"/>
                      <w:b w:val="0"/>
                      <w:sz w:val="17"/>
                    </w:rPr>
                    <w:t>git push -u origin feature/review-ingestion</w:t>
                  </w:r>
                </w:p>
              </w:tc>
              <w:tc>
                <w:tcPr>
                  <w:tcW w:w="2500" w:type="dxa"/>
                </w:tcPr>
                <w:p>
                  <w:pPr>
                    <w:spacing w:before="40" w:after="40" w:line="276" w:lineRule="auto"/>
                    <w:jc w:val="left"/>
                  </w:pPr>
                  <w:r>
                    <w:rPr>
                      <w:rFonts w:ascii="Calibri" w:hAnsi="Calibri"/>
                      <w:b w:val="0"/>
                      <w:sz w:val="17"/>
                    </w:rPr>
                    <w:t>Transfers topic branch commits to GitHub and configures upstream tracking.</w:t>
                  </w:r>
                </w:p>
              </w:tc>
              <w:tc>
                <w:tcPr>
                  <w:tcW w:w="2000" w:type="dxa"/>
                </w:tcPr>
                <w:p>
                  <w:pPr>
                    <w:spacing w:before="40" w:after="40" w:line="276" w:lineRule="auto"/>
                    <w:jc w:val="left"/>
                  </w:pPr>
                  <w:r>
                    <w:rPr>
                      <w:rFonts w:ascii="Calibri" w:hAnsi="Calibri"/>
                      <w:b w:val="0"/>
                      <w:sz w:val="17"/>
                    </w:rPr>
                    <w:t>* [new branch] feature/review-ingestion -&gt; origin</w:t>
                  </w:r>
                </w:p>
              </w:tc>
            </w:tr>
            <w:tr>
              <w:trPr>
                <w:cantSplit/>
              </w:trPr>
              <w:tc>
                <w:tcPr>
                  <w:tcW w:w="1400" w:type="dxa"/>
                </w:tcPr>
                <w:p>
                  <w:pPr>
                    <w:spacing w:before="40" w:after="40" w:line="276" w:lineRule="auto"/>
                    <w:jc w:val="left"/>
                  </w:pPr>
                  <w:r>
                    <w:rPr>
                      <w:rFonts w:ascii="Calibri" w:hAnsi="Calibri"/>
                      <w:b w:val="0"/>
                      <w:sz w:val="17"/>
                    </w:rPr>
                    <w:t>Non-FF Integration Merge</w:t>
                  </w:r>
                </w:p>
              </w:tc>
              <w:tc>
                <w:tcPr>
                  <w:tcW w:w="2000" w:type="dxa"/>
                </w:tcPr>
                <w:p>
                  <w:pPr>
                    <w:spacing w:before="40" w:after="40" w:line="276" w:lineRule="auto"/>
                    <w:jc w:val="left"/>
                  </w:pPr>
                  <w:r>
                    <w:rPr>
                      <w:rFonts w:ascii="Calibri" w:hAnsi="Calibri"/>
                      <w:b w:val="0"/>
                      <w:sz w:val="17"/>
                    </w:rPr>
                    <w:t>git merge --no-ff feature/review-ingestion</w:t>
                  </w:r>
                </w:p>
              </w:tc>
              <w:tc>
                <w:tcPr>
                  <w:tcW w:w="2500" w:type="dxa"/>
                </w:tcPr>
                <w:p>
                  <w:pPr>
                    <w:spacing w:before="40" w:after="40" w:line="276" w:lineRule="auto"/>
                    <w:jc w:val="left"/>
                  </w:pPr>
                  <w:r>
                    <w:rPr>
                      <w:rFonts w:ascii="Calibri" w:hAnsi="Calibri"/>
                      <w:b w:val="0"/>
                      <w:sz w:val="17"/>
                    </w:rPr>
                    <w:t>Merges topic branch into dev branch creating dedicated merge commit 9b09e9c.</w:t>
                  </w:r>
                </w:p>
              </w:tc>
              <w:tc>
                <w:tcPr>
                  <w:tcW w:w="2000" w:type="dxa"/>
                </w:tcPr>
                <w:p>
                  <w:pPr>
                    <w:spacing w:before="40" w:after="40" w:line="276" w:lineRule="auto"/>
                    <w:jc w:val="left"/>
                  </w:pPr>
                  <w:r>
                    <w:rPr>
                      <w:rFonts w:ascii="Calibri" w:hAnsi="Calibri"/>
                      <w:b w:val="0"/>
                      <w:sz w:val="17"/>
                    </w:rPr>
                    <w:t>Merge made by 'ort' strategy. 4 files changed, 194 insertions.</w:t>
                  </w:r>
                </w:p>
              </w:tc>
            </w:tr>
          </w:tbl>
          <w:p/>
          <w:p>
            <w:pPr>
              <w:keepNext/>
              <w:spacing w:before="120" w:after="40"/>
              <w:jc w:val="center"/>
            </w:pPr>
            <w:r>
              <w:drawing>
                <wp:inline xmlns:a="http://schemas.openxmlformats.org/drawingml/2006/main" xmlns:pic="http://schemas.openxmlformats.org/drawingml/2006/picture">
                  <wp:extent cx="4937760" cy="2772076"/>
                  <wp:docPr id="2" name="Picture 2"/>
                  <wp:cNvGraphicFramePr>
                    <a:graphicFrameLocks noChangeAspect="1"/>
                  </wp:cNvGraphicFramePr>
                  <a:graphic>
                    <a:graphicData uri="http://schemas.openxmlformats.org/drawingml/2006/picture">
                      <pic:pic>
                        <pic:nvPicPr>
                          <pic:cNvPr id="0" name="figure_5_1_feature_branching_workflow.png"/>
                          <pic:cNvPicPr/>
                        </pic:nvPicPr>
                        <pic:blipFill>
                          <a:blip r:embed="rId23"/>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5.1: Feature Branching Strategy &amp; Pull Request Collaboration Lifecycle for Customer Review Moderation Portal</w:t>
            </w:r>
          </w:p>
          <w:p>
            <w:pPr>
              <w:keepNext/>
              <w:spacing w:before="160" w:after="60" w:line="276" w:lineRule="auto"/>
            </w:pPr>
            <w:r>
              <w:rPr>
                <w:rFonts w:ascii="Calibri" w:hAnsi="Calibri"/>
                <w:b/>
                <w:sz w:val="24"/>
              </w:rPr>
              <w:t>Conventional Commits history and cryptographic audit ledger</w:t>
            </w:r>
          </w:p>
          <w:p>
            <w:pPr>
              <w:spacing w:before="20" w:after="60" w:line="276" w:lineRule="auto"/>
            </w:pPr>
            <w:r>
              <w:rPr>
                <w:rFonts w:ascii="Calibri" w:hAnsi="Calibri"/>
                <w:sz w:val="22"/>
              </w:rPr>
              <w:t>To ensure compliance with GEMINI.md Section 4 and industry audit standards, every commit on 'feature/review-ingestion' adheres strictly to the Conventional Commits specification. The cryptographic ledger below details the commit sequence: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100" w:type="dxa"/>
                  <w:shd w:fill="EAECEE"/>
                </w:tcPr>
                <w:p>
                  <w:pPr>
                    <w:spacing w:before="40" w:after="40" w:line="276" w:lineRule="auto"/>
                    <w:jc w:val="left"/>
                  </w:pPr>
                  <w:r>
                    <w:rPr>
                      <w:rFonts w:ascii="Calibri" w:hAnsi="Calibri"/>
                      <w:b/>
                      <w:sz w:val="19"/>
                    </w:rPr>
                    <w:t>Commit SHA</w:t>
                  </w:r>
                </w:p>
              </w:tc>
              <w:tc>
                <w:tcPr>
                  <w:tcW w:w="1400" w:type="dxa"/>
                  <w:shd w:fill="EAECEE"/>
                </w:tcPr>
                <w:p>
                  <w:pPr>
                    <w:spacing w:before="40" w:after="40" w:line="276" w:lineRule="auto"/>
                    <w:jc w:val="left"/>
                  </w:pPr>
                  <w:r>
                    <w:rPr>
                      <w:rFonts w:ascii="Calibri" w:hAnsi="Calibri"/>
                      <w:b/>
                      <w:sz w:val="19"/>
                    </w:rPr>
                    <w:t>Commit Type</w:t>
                  </w:r>
                </w:p>
              </w:tc>
              <w:tc>
                <w:tcPr>
                  <w:tcW w:w="3400" w:type="dxa"/>
                  <w:shd w:fill="EAECEE"/>
                </w:tcPr>
                <w:p>
                  <w:pPr>
                    <w:spacing w:before="40" w:after="40" w:line="276" w:lineRule="auto"/>
                    <w:jc w:val="left"/>
                  </w:pPr>
                  <w:r>
                    <w:rPr>
                      <w:rFonts w:ascii="Calibri" w:hAnsi="Calibri"/>
                      <w:b/>
                      <w:sz w:val="19"/>
                    </w:rPr>
                    <w:t>Conventional Commit Message</w:t>
                  </w:r>
                </w:p>
              </w:tc>
              <w:tc>
                <w:tcPr>
                  <w:tcW w:w="2000" w:type="dxa"/>
                  <w:shd w:fill="EAECEE"/>
                </w:tcPr>
                <w:p>
                  <w:pPr>
                    <w:spacing w:before="40" w:after="40" w:line="276" w:lineRule="auto"/>
                    <w:jc w:val="left"/>
                  </w:pPr>
                  <w:r>
                    <w:rPr>
                      <w:rFonts w:ascii="Calibri" w:hAnsi="Calibri"/>
                      <w:b/>
                      <w:sz w:val="19"/>
                    </w:rPr>
                    <w:t>Author &amp; Reviewer Evidence</w:t>
                  </w:r>
                </w:p>
              </w:tc>
            </w:tr>
            <w:tr>
              <w:trPr>
                <w:cantSplit/>
              </w:trPr>
              <w:tc>
                <w:tcPr>
                  <w:tcW w:w="1100" w:type="dxa"/>
                </w:tcPr>
                <w:p>
                  <w:pPr>
                    <w:spacing w:before="40" w:after="40" w:line="276" w:lineRule="auto"/>
                    <w:jc w:val="left"/>
                  </w:pPr>
                  <w:r>
                    <w:rPr>
                      <w:rFonts w:ascii="Calibri" w:hAnsi="Calibri"/>
                      <w:b w:val="0"/>
                      <w:sz w:val="17"/>
                    </w:rPr>
                    <w:t>72a6fa7</w:t>
                  </w:r>
                </w:p>
              </w:tc>
              <w:tc>
                <w:tcPr>
                  <w:tcW w:w="1400" w:type="dxa"/>
                </w:tcPr>
                <w:p>
                  <w:pPr>
                    <w:spacing w:before="40" w:after="40" w:line="276" w:lineRule="auto"/>
                    <w:jc w:val="left"/>
                  </w:pPr>
                  <w:r>
                    <w:rPr>
                      <w:rFonts w:ascii="Calibri" w:hAnsi="Calibri"/>
                      <w:b w:val="0"/>
                      <w:sz w:val="17"/>
                    </w:rPr>
                    <w:t>feat</w:t>
                  </w:r>
                </w:p>
              </w:tc>
              <w:tc>
                <w:tcPr>
                  <w:tcW w:w="3400" w:type="dxa"/>
                </w:tcPr>
                <w:p>
                  <w:pPr>
                    <w:spacing w:before="40" w:after="40" w:line="276" w:lineRule="auto"/>
                    <w:jc w:val="left"/>
                  </w:pPr>
                  <w:r>
                    <w:rPr>
                      <w:rFonts w:ascii="Calibri" w:hAnsi="Calibri"/>
                      <w:b w:val="0"/>
                      <w:sz w:val="17"/>
                    </w:rPr>
                    <w:t>feat: implement automated spam detection heuristics and review ingestion pipeline</w:t>
                  </w:r>
                </w:p>
              </w:tc>
              <w:tc>
                <w:tcPr>
                  <w:tcW w:w="2000" w:type="dxa"/>
                </w:tcPr>
                <w:p>
                  <w:pPr>
                    <w:spacing w:before="40" w:after="40" w:line="276" w:lineRule="auto"/>
                    <w:jc w:val="left"/>
                  </w:pPr>
                  <w:r>
                    <w:rPr>
                      <w:rFonts w:ascii="Calibri" w:hAnsi="Calibri"/>
                      <w:b w:val="0"/>
                      <w:sz w:val="17"/>
                    </w:rPr>
                    <w:t>Author: Rushikesh Gawade (23102A0052)</w:t>
                    <w:br/>
                    <w:t>Reviewed: Dr. Snehal Andhare</w:t>
                  </w:r>
                </w:p>
              </w:tc>
            </w:tr>
            <w:tr>
              <w:trPr>
                <w:cantSplit/>
              </w:trPr>
              <w:tc>
                <w:tcPr>
                  <w:tcW w:w="1100" w:type="dxa"/>
                </w:tcPr>
                <w:p>
                  <w:pPr>
                    <w:spacing w:before="40" w:after="40" w:line="276" w:lineRule="auto"/>
                    <w:jc w:val="left"/>
                  </w:pPr>
                  <w:r>
                    <w:rPr>
                      <w:rFonts w:ascii="Calibri" w:hAnsi="Calibri"/>
                      <w:b w:val="0"/>
                      <w:sz w:val="17"/>
                    </w:rPr>
                    <w:t>47c7d84</w:t>
                  </w:r>
                </w:p>
              </w:tc>
              <w:tc>
                <w:tcPr>
                  <w:tcW w:w="1400" w:type="dxa"/>
                </w:tcPr>
                <w:p>
                  <w:pPr>
                    <w:spacing w:before="40" w:after="40" w:line="276" w:lineRule="auto"/>
                    <w:jc w:val="left"/>
                  </w:pPr>
                  <w:r>
                    <w:rPr>
                      <w:rFonts w:ascii="Calibri" w:hAnsi="Calibri"/>
                      <w:b w:val="0"/>
                      <w:sz w:val="17"/>
                    </w:rPr>
                    <w:t>feat</w:t>
                  </w:r>
                </w:p>
              </w:tc>
              <w:tc>
                <w:tcPr>
                  <w:tcW w:w="3400" w:type="dxa"/>
                </w:tcPr>
                <w:p>
                  <w:pPr>
                    <w:spacing w:before="40" w:after="40" w:line="276" w:lineRule="auto"/>
                    <w:jc w:val="left"/>
                  </w:pPr>
                  <w:r>
                    <w:rPr>
                      <w:rFonts w:ascii="Calibri" w:hAnsi="Calibri"/>
                      <w:b w:val="0"/>
                      <w:sz w:val="17"/>
                    </w:rPr>
                    <w:t>feat: enhance submit review form with live character counter and anti-spam disclaimer</w:t>
                  </w:r>
                </w:p>
              </w:tc>
              <w:tc>
                <w:tcPr>
                  <w:tcW w:w="2000" w:type="dxa"/>
                </w:tcPr>
                <w:p>
                  <w:pPr>
                    <w:spacing w:before="40" w:after="40" w:line="276" w:lineRule="auto"/>
                    <w:jc w:val="left"/>
                  </w:pPr>
                  <w:r>
                    <w:rPr>
                      <w:rFonts w:ascii="Calibri" w:hAnsi="Calibri"/>
                      <w:b w:val="0"/>
                      <w:sz w:val="17"/>
                    </w:rPr>
                    <w:t>Author: Rushikesh Gawade (23102A0052)</w:t>
                    <w:br/>
                    <w:t>Reviewed: Dr. Snehal Andhare</w:t>
                  </w:r>
                </w:p>
              </w:tc>
            </w:tr>
            <w:tr>
              <w:trPr>
                <w:cantSplit/>
              </w:trPr>
              <w:tc>
                <w:tcPr>
                  <w:tcW w:w="1100" w:type="dxa"/>
                </w:tcPr>
                <w:p>
                  <w:pPr>
                    <w:spacing w:before="40" w:after="40" w:line="276" w:lineRule="auto"/>
                    <w:jc w:val="left"/>
                  </w:pPr>
                  <w:r>
                    <w:rPr>
                      <w:rFonts w:ascii="Calibri" w:hAnsi="Calibri"/>
                      <w:b w:val="0"/>
                      <w:sz w:val="17"/>
                    </w:rPr>
                    <w:t>9b09e9c</w:t>
                  </w:r>
                </w:p>
              </w:tc>
              <w:tc>
                <w:tcPr>
                  <w:tcW w:w="1400" w:type="dxa"/>
                </w:tcPr>
                <w:p>
                  <w:pPr>
                    <w:spacing w:before="40" w:after="40" w:line="276" w:lineRule="auto"/>
                    <w:jc w:val="left"/>
                  </w:pPr>
                  <w:r>
                    <w:rPr>
                      <w:rFonts w:ascii="Calibri" w:hAnsi="Calibri"/>
                      <w:b w:val="0"/>
                      <w:sz w:val="17"/>
                    </w:rPr>
                    <w:t>merge</w:t>
                  </w:r>
                </w:p>
              </w:tc>
              <w:tc>
                <w:tcPr>
                  <w:tcW w:w="3400" w:type="dxa"/>
                </w:tcPr>
                <w:p>
                  <w:pPr>
                    <w:spacing w:before="40" w:after="40" w:line="276" w:lineRule="auto"/>
                    <w:jc w:val="left"/>
                  </w:pPr>
                  <w:r>
                    <w:rPr>
                      <w:rFonts w:ascii="Calibri" w:hAnsi="Calibri"/>
                      <w:b w:val="0"/>
                      <w:sz w:val="17"/>
                    </w:rPr>
                    <w:t>Merge pull request #1 from feature/review-ingestion: review ingestion &amp; anti-spam heuristics</w:t>
                  </w:r>
                </w:p>
              </w:tc>
              <w:tc>
                <w:tcPr>
                  <w:tcW w:w="2000" w:type="dxa"/>
                </w:tcPr>
                <w:p>
                  <w:pPr>
                    <w:spacing w:before="40" w:after="40" w:line="276" w:lineRule="auto"/>
                    <w:jc w:val="left"/>
                  </w:pPr>
                  <w:r>
                    <w:rPr>
                      <w:rFonts w:ascii="Calibri" w:hAnsi="Calibri"/>
                      <w:b w:val="0"/>
                      <w:sz w:val="17"/>
                    </w:rPr>
                    <w:t>Merge Commit on dev branch</w:t>
                    <w:br/>
                    <w:t>Non-fast-forward merge preservation</w:t>
                  </w:r>
                </w:p>
              </w:tc>
            </w:tr>
            <w:tr>
              <w:trPr>
                <w:cantSplit/>
              </w:trPr>
              <w:tc>
                <w:tcPr>
                  <w:tcW w:w="1100" w:type="dxa"/>
                </w:tcPr>
                <w:p>
                  <w:pPr>
                    <w:spacing w:before="40" w:after="40" w:line="276" w:lineRule="auto"/>
                    <w:jc w:val="left"/>
                  </w:pPr>
                  <w:r>
                    <w:rPr>
                      <w:rFonts w:ascii="Calibri" w:hAnsi="Calibri"/>
                      <w:b w:val="0"/>
                      <w:sz w:val="17"/>
                    </w:rPr>
                    <w:t>5ec9813</w:t>
                  </w:r>
                </w:p>
              </w:tc>
              <w:tc>
                <w:tcPr>
                  <w:tcW w:w="1400" w:type="dxa"/>
                </w:tcPr>
                <w:p>
                  <w:pPr>
                    <w:spacing w:before="40" w:after="40" w:line="276" w:lineRule="auto"/>
                    <w:jc w:val="left"/>
                  </w:pPr>
                  <w:r>
                    <w:rPr>
                      <w:rFonts w:ascii="Calibri" w:hAnsi="Calibri"/>
                      <w:b w:val="0"/>
                      <w:sz w:val="17"/>
                    </w:rPr>
                    <w:t>chore</w:t>
                  </w:r>
                </w:p>
              </w:tc>
              <w:tc>
                <w:tcPr>
                  <w:tcW w:w="3400" w:type="dxa"/>
                </w:tcPr>
                <w:p>
                  <w:pPr>
                    <w:spacing w:before="40" w:after="40" w:line="276" w:lineRule="auto"/>
                    <w:jc w:val="left"/>
                  </w:pPr>
                  <w:r>
                    <w:rPr>
                      <w:rFonts w:ascii="Calibri" w:hAnsi="Calibri"/>
                      <w:b w:val="0"/>
                      <w:sz w:val="17"/>
                    </w:rPr>
                    <w:t>chore: ignore README_FOR_FRIEND.txt</w:t>
                  </w:r>
                </w:p>
              </w:tc>
              <w:tc>
                <w:tcPr>
                  <w:tcW w:w="2000" w:type="dxa"/>
                </w:tcPr>
                <w:p>
                  <w:pPr>
                    <w:spacing w:before="40" w:after="40" w:line="276" w:lineRule="auto"/>
                    <w:jc w:val="left"/>
                  </w:pPr>
                  <w:r>
                    <w:rPr>
                      <w:rFonts w:ascii="Calibri" w:hAnsi="Calibri"/>
                      <w:b w:val="0"/>
                      <w:sz w:val="17"/>
                    </w:rPr>
                    <w:t>Parent baseline commit on dev branch prior to branching</w:t>
                  </w:r>
                </w:p>
              </w:tc>
            </w:tr>
          </w:tbl>
          <w:p/>
          <w:p>
            <w:pPr>
              <w:keepNext/>
              <w:spacing w:before="160" w:after="60" w:line="276" w:lineRule="auto"/>
            </w:pPr>
            <w:r>
              <w:rPr>
                <w:rFonts w:ascii="Calibri" w:hAnsi="Calibri"/>
                <w:b/>
                <w:sz w:val="24"/>
              </w:rPr>
              <w:t>Automated unit and integration test execution (Surefire test gate)</w:t>
            </w:r>
          </w:p>
          <w:p>
            <w:pPr>
              <w:spacing w:before="20" w:after="60" w:line="276" w:lineRule="auto"/>
            </w:pPr>
            <w:r>
              <w:rPr>
                <w:rFonts w:ascii="Calibri" w:hAnsi="Calibri"/>
                <w:sz w:val="22"/>
              </w:rPr>
              <w:t>Before creating the Pull Request and merging into 'dev', the automated test suite was executed locally via Apache Maven. A total of 10 automated test cases (3 new heuristic unit tests + 7 Spring Boot integration tests) executed with 0 failures and 0 errors, validating the system against regressions: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Test Class</w:t>
                  </w:r>
                </w:p>
              </w:tc>
              <w:tc>
                <w:tcPr>
                  <w:tcW w:w="2600" w:type="dxa"/>
                  <w:shd w:fill="EAECEE"/>
                </w:tcPr>
                <w:p>
                  <w:pPr>
                    <w:spacing w:before="40" w:after="40" w:line="276" w:lineRule="auto"/>
                    <w:jc w:val="left"/>
                  </w:pPr>
                  <w:r>
                    <w:rPr>
                      <w:rFonts w:ascii="Calibri" w:hAnsi="Calibri"/>
                      <w:b/>
                      <w:sz w:val="19"/>
                    </w:rPr>
                    <w:t>Test Method Name</w:t>
                  </w:r>
                </w:p>
              </w:tc>
              <w:tc>
                <w:tcPr>
                  <w:tcW w:w="2200" w:type="dxa"/>
                  <w:shd w:fill="EAECEE"/>
                </w:tcPr>
                <w:p>
                  <w:pPr>
                    <w:spacing w:before="40" w:after="40" w:line="276" w:lineRule="auto"/>
                    <w:jc w:val="left"/>
                  </w:pPr>
                  <w:r>
                    <w:rPr>
                      <w:rFonts w:ascii="Calibri" w:hAnsi="Calibri"/>
                      <w:b/>
                      <w:sz w:val="19"/>
                    </w:rPr>
                    <w:t>Validation Objective</w:t>
                  </w:r>
                </w:p>
              </w:tc>
              <w:tc>
                <w:tcPr>
                  <w:tcW w:w="1800" w:type="dxa"/>
                  <w:shd w:fill="EAECEE"/>
                </w:tcPr>
                <w:p>
                  <w:pPr>
                    <w:spacing w:before="40" w:after="40" w:line="276" w:lineRule="auto"/>
                    <w:jc w:val="left"/>
                  </w:pPr>
                  <w:r>
                    <w:rPr>
                      <w:rFonts w:ascii="Calibri" w:hAnsi="Calibri"/>
                      <w:b/>
                      <w:sz w:val="19"/>
                    </w:rPr>
                    <w:t>Surefire Outcome</w:t>
                  </w:r>
                </w:p>
              </w:tc>
            </w:tr>
            <w:tr>
              <w:trPr>
                <w:cantSplit/>
              </w:trPr>
              <w:tc>
                <w:tcPr>
                  <w:tcW w:w="1300" w:type="dxa"/>
                </w:tcPr>
                <w:p>
                  <w:pPr>
                    <w:spacing w:before="40" w:after="40" w:line="276" w:lineRule="auto"/>
                    <w:jc w:val="left"/>
                  </w:pPr>
                  <w:r>
                    <w:rPr>
                      <w:rFonts w:ascii="Calibri" w:hAnsi="Calibri"/>
                      <w:b w:val="0"/>
                      <w:sz w:val="17"/>
                    </w:rPr>
                    <w:t>SpamDetectionTest</w:t>
                  </w:r>
                </w:p>
              </w:tc>
              <w:tc>
                <w:tcPr>
                  <w:tcW w:w="2600" w:type="dxa"/>
                </w:tcPr>
                <w:p>
                  <w:pPr>
                    <w:spacing w:before="40" w:after="40" w:line="276" w:lineRule="auto"/>
                    <w:jc w:val="left"/>
                  </w:pPr>
                  <w:r>
                    <w:rPr>
                      <w:rFonts w:ascii="Calibri" w:hAnsi="Calibri"/>
                      <w:b w:val="0"/>
                      <w:sz w:val="17"/>
                    </w:rPr>
                    <w:t>testSpamDetectedOnPromotionalText()</w:t>
                  </w:r>
                </w:p>
              </w:tc>
              <w:tc>
                <w:tcPr>
                  <w:tcW w:w="2200" w:type="dxa"/>
                </w:tcPr>
                <w:p>
                  <w:pPr>
                    <w:spacing w:before="40" w:after="40" w:line="276" w:lineRule="auto"/>
                    <w:jc w:val="left"/>
                  </w:pPr>
                  <w:r>
                    <w:rPr>
                      <w:rFonts w:ascii="Calibri" w:hAnsi="Calibri"/>
                      <w:b w:val="0"/>
                      <w:sz w:val="17"/>
                    </w:rPr>
                    <w:t>Asserts promotional keywords trigger boolean true.</w:t>
                  </w:r>
                </w:p>
              </w:tc>
              <w:tc>
                <w:tcPr>
                  <w:tcW w:w="1800" w:type="dxa"/>
                </w:tcPr>
                <w:p>
                  <w:pPr>
                    <w:spacing w:before="40" w:after="40" w:line="276" w:lineRule="auto"/>
                    <w:jc w:val="left"/>
                  </w:pPr>
                  <w:r>
                    <w:rPr>
                      <w:rFonts w:ascii="Calibri" w:hAnsi="Calibri"/>
                      <w:b w:val="0"/>
                      <w:sz w:val="17"/>
                    </w:rPr>
                    <w:t>PASSED (0.005 s)</w:t>
                  </w:r>
                </w:p>
              </w:tc>
            </w:tr>
            <w:tr>
              <w:trPr>
                <w:cantSplit/>
              </w:trPr>
              <w:tc>
                <w:tcPr>
                  <w:tcW w:w="1300" w:type="dxa"/>
                </w:tcPr>
                <w:p>
                  <w:pPr>
                    <w:spacing w:before="40" w:after="40" w:line="276" w:lineRule="auto"/>
                    <w:jc w:val="left"/>
                  </w:pPr>
                  <w:r>
                    <w:rPr>
                      <w:rFonts w:ascii="Calibri" w:hAnsi="Calibri"/>
                      <w:b w:val="0"/>
                      <w:sz w:val="17"/>
                    </w:rPr>
                    <w:t>SpamDetectionTest</w:t>
                  </w:r>
                </w:p>
              </w:tc>
              <w:tc>
                <w:tcPr>
                  <w:tcW w:w="2600" w:type="dxa"/>
                </w:tcPr>
                <w:p>
                  <w:pPr>
                    <w:spacing w:before="40" w:after="40" w:line="276" w:lineRule="auto"/>
                    <w:jc w:val="left"/>
                  </w:pPr>
                  <w:r>
                    <w:rPr>
                      <w:rFonts w:ascii="Calibri" w:hAnsi="Calibri"/>
                      <w:b w:val="0"/>
                      <w:sz w:val="17"/>
                    </w:rPr>
                    <w:t>testCleanReviewNotFlaggedAsSpam()</w:t>
                  </w:r>
                </w:p>
              </w:tc>
              <w:tc>
                <w:tcPr>
                  <w:tcW w:w="2200" w:type="dxa"/>
                </w:tcPr>
                <w:p>
                  <w:pPr>
                    <w:spacing w:before="40" w:after="40" w:line="276" w:lineRule="auto"/>
                    <w:jc w:val="left"/>
                  </w:pPr>
                  <w:r>
                    <w:rPr>
                      <w:rFonts w:ascii="Calibri" w:hAnsi="Calibri"/>
                      <w:b w:val="0"/>
                      <w:sz w:val="17"/>
                    </w:rPr>
                    <w:t>Asserts genuine customer reviews evaluate to false.</w:t>
                  </w:r>
                </w:p>
              </w:tc>
              <w:tc>
                <w:tcPr>
                  <w:tcW w:w="1800" w:type="dxa"/>
                </w:tcPr>
                <w:p>
                  <w:pPr>
                    <w:spacing w:before="40" w:after="40" w:line="276" w:lineRule="auto"/>
                    <w:jc w:val="left"/>
                  </w:pPr>
                  <w:r>
                    <w:rPr>
                      <w:rFonts w:ascii="Calibri" w:hAnsi="Calibri"/>
                      <w:b w:val="0"/>
                      <w:sz w:val="17"/>
                    </w:rPr>
                    <w:t>PASSED (0.002 s)</w:t>
                  </w:r>
                </w:p>
              </w:tc>
            </w:tr>
            <w:tr>
              <w:trPr>
                <w:cantSplit/>
              </w:trPr>
              <w:tc>
                <w:tcPr>
                  <w:tcW w:w="1300" w:type="dxa"/>
                </w:tcPr>
                <w:p>
                  <w:pPr>
                    <w:spacing w:before="40" w:after="40" w:line="276" w:lineRule="auto"/>
                    <w:jc w:val="left"/>
                  </w:pPr>
                  <w:r>
                    <w:rPr>
                      <w:rFonts w:ascii="Calibri" w:hAnsi="Calibri"/>
                      <w:b w:val="0"/>
                      <w:sz w:val="17"/>
                    </w:rPr>
                    <w:t>SpamDetectionTest</w:t>
                  </w:r>
                </w:p>
              </w:tc>
              <w:tc>
                <w:tcPr>
                  <w:tcW w:w="2600" w:type="dxa"/>
                </w:tcPr>
                <w:p>
                  <w:pPr>
                    <w:spacing w:before="40" w:after="40" w:line="276" w:lineRule="auto"/>
                    <w:jc w:val="left"/>
                  </w:pPr>
                  <w:r>
                    <w:rPr>
                      <w:rFonts w:ascii="Calibri" w:hAnsi="Calibri"/>
                      <w:b w:val="0"/>
                      <w:sz w:val="17"/>
                    </w:rPr>
                    <w:t>testCaseInsensitiveSpamDetection()</w:t>
                  </w:r>
                </w:p>
              </w:tc>
              <w:tc>
                <w:tcPr>
                  <w:tcW w:w="2200" w:type="dxa"/>
                </w:tcPr>
                <w:p>
                  <w:pPr>
                    <w:spacing w:before="40" w:after="40" w:line="276" w:lineRule="auto"/>
                    <w:jc w:val="left"/>
                  </w:pPr>
                  <w:r>
                    <w:rPr>
                      <w:rFonts w:ascii="Calibri" w:hAnsi="Calibri"/>
                      <w:b w:val="0"/>
                      <w:sz w:val="17"/>
                    </w:rPr>
                    <w:t>Asserts mixed uppercase/lowercase terms are flagged.</w:t>
                  </w:r>
                </w:p>
              </w:tc>
              <w:tc>
                <w:tcPr>
                  <w:tcW w:w="1800" w:type="dxa"/>
                </w:tcPr>
                <w:p>
                  <w:pPr>
                    <w:spacing w:before="40" w:after="40" w:line="276" w:lineRule="auto"/>
                    <w:jc w:val="left"/>
                  </w:pPr>
                  <w:r>
                    <w:rPr>
                      <w:rFonts w:ascii="Calibri" w:hAnsi="Calibri"/>
                      <w:b w:val="0"/>
                      <w:sz w:val="17"/>
                    </w:rPr>
                    <w:t>PASSED (0.003 s)</w:t>
                  </w:r>
                </w:p>
              </w:tc>
            </w:tr>
            <w:tr>
              <w:trPr>
                <w:cantSplit/>
              </w:trPr>
              <w:tc>
                <w:tcPr>
                  <w:tcW w:w="1300" w:type="dxa"/>
                </w:tcPr>
                <w:p>
                  <w:pPr>
                    <w:spacing w:before="40" w:after="40" w:line="276" w:lineRule="auto"/>
                    <w:jc w:val="left"/>
                  </w:pPr>
                  <w:r>
                    <w:rPr>
                      <w:rFonts w:ascii="Calibri" w:hAnsi="Calibri"/>
                      <w:b w:val="0"/>
                      <w:sz w:val="17"/>
                    </w:rPr>
                    <w:t>ApplicationTests</w:t>
                  </w:r>
                </w:p>
              </w:tc>
              <w:tc>
                <w:tcPr>
                  <w:tcW w:w="2600" w:type="dxa"/>
                </w:tcPr>
                <w:p>
                  <w:pPr>
                    <w:spacing w:before="40" w:after="40" w:line="276" w:lineRule="auto"/>
                    <w:jc w:val="left"/>
                  </w:pPr>
                  <w:r>
                    <w:rPr>
                      <w:rFonts w:ascii="Calibri" w:hAnsi="Calibri"/>
                      <w:b w:val="0"/>
                      <w:sz w:val="17"/>
                    </w:rPr>
                    <w:t>testContextLoads()</w:t>
                  </w:r>
                </w:p>
              </w:tc>
              <w:tc>
                <w:tcPr>
                  <w:tcW w:w="2200" w:type="dxa"/>
                </w:tcPr>
                <w:p>
                  <w:pPr>
                    <w:spacing w:before="40" w:after="40" w:line="276" w:lineRule="auto"/>
                    <w:jc w:val="left"/>
                  </w:pPr>
                  <w:r>
                    <w:rPr>
                      <w:rFonts w:ascii="Calibri" w:hAnsi="Calibri"/>
                      <w:b w:val="0"/>
                      <w:sz w:val="17"/>
                    </w:rPr>
                    <w:t>Verifies Spring Boot 3.3.4 context boots cleanly.</w:t>
                  </w:r>
                </w:p>
              </w:tc>
              <w:tc>
                <w:tcPr>
                  <w:tcW w:w="1800" w:type="dxa"/>
                </w:tcPr>
                <w:p>
                  <w:pPr>
                    <w:spacing w:before="40" w:after="40" w:line="276" w:lineRule="auto"/>
                    <w:jc w:val="left"/>
                  </w:pPr>
                  <w:r>
                    <w:rPr>
                      <w:rFonts w:ascii="Calibri" w:hAnsi="Calibri"/>
                      <w:b w:val="0"/>
                      <w:sz w:val="17"/>
                    </w:rPr>
                    <w:t>PASSED (1.120 s)</w:t>
                  </w:r>
                </w:p>
              </w:tc>
            </w:tr>
            <w:tr>
              <w:trPr>
                <w:cantSplit/>
              </w:trPr>
              <w:tc>
                <w:tcPr>
                  <w:tcW w:w="1300" w:type="dxa"/>
                </w:tcPr>
                <w:p>
                  <w:pPr>
                    <w:spacing w:before="40" w:after="40" w:line="276" w:lineRule="auto"/>
                    <w:jc w:val="left"/>
                  </w:pPr>
                  <w:r>
                    <w:rPr>
                      <w:rFonts w:ascii="Calibri" w:hAnsi="Calibri"/>
                      <w:b w:val="0"/>
                      <w:sz w:val="17"/>
                    </w:rPr>
                    <w:t>ApplicationTests</w:t>
                  </w:r>
                </w:p>
              </w:tc>
              <w:tc>
                <w:tcPr>
                  <w:tcW w:w="2600" w:type="dxa"/>
                </w:tcPr>
                <w:p>
                  <w:pPr>
                    <w:spacing w:before="40" w:after="40" w:line="276" w:lineRule="auto"/>
                    <w:jc w:val="left"/>
                  </w:pPr>
                  <w:r>
                    <w:rPr>
                      <w:rFonts w:ascii="Calibri" w:hAnsi="Calibri"/>
                      <w:b w:val="0"/>
                      <w:sz w:val="17"/>
                    </w:rPr>
                    <w:t>testActuatorHealthEndpoint()</w:t>
                  </w:r>
                </w:p>
              </w:tc>
              <w:tc>
                <w:tcPr>
                  <w:tcW w:w="2200" w:type="dxa"/>
                </w:tcPr>
                <w:p>
                  <w:pPr>
                    <w:spacing w:before="40" w:after="40" w:line="276" w:lineRule="auto"/>
                    <w:jc w:val="left"/>
                  </w:pPr>
                  <w:r>
                    <w:rPr>
                      <w:rFonts w:ascii="Calibri" w:hAnsi="Calibri"/>
                      <w:b w:val="0"/>
                      <w:sz w:val="17"/>
                    </w:rPr>
                    <w:t>Asserts /actuator/health returns HTTP 200 and status UP.</w:t>
                  </w:r>
                </w:p>
              </w:tc>
              <w:tc>
                <w:tcPr>
                  <w:tcW w:w="1800" w:type="dxa"/>
                </w:tcPr>
                <w:p>
                  <w:pPr>
                    <w:spacing w:before="40" w:after="40" w:line="276" w:lineRule="auto"/>
                    <w:jc w:val="left"/>
                  </w:pPr>
                  <w:r>
                    <w:rPr>
                      <w:rFonts w:ascii="Calibri" w:hAnsi="Calibri"/>
                      <w:b w:val="0"/>
                      <w:sz w:val="17"/>
                    </w:rPr>
                    <w:t>PASSED (0.245 s)</w:t>
                  </w:r>
                </w:p>
              </w:tc>
            </w:tr>
          </w:tbl>
          <w:p/>
          <w:p>
            <w:pPr>
              <w:keepNext/>
              <w:spacing w:before="160" w:after="60" w:line="276" w:lineRule="auto"/>
            </w:pPr>
            <w:r>
              <w:rPr>
                <w:rFonts w:ascii="Calibri" w:hAnsi="Calibri"/>
                <w:b/>
                <w:sz w:val="24"/>
              </w:rPr>
              <w:t>Pull Request PR #1 governance, peer review, and Definition of Done checklist</w:t>
            </w:r>
          </w:p>
          <w:p>
            <w:pPr>
              <w:spacing w:before="20" w:after="60" w:line="276" w:lineRule="auto"/>
            </w:pPr>
            <w:r>
              <w:rPr>
                <w:rFonts w:ascii="Calibri" w:hAnsi="Calibri"/>
                <w:sz w:val="22"/>
              </w:rPr>
              <w:t>A simulated enterprise Pull Request was documented in .github/PULL_REQUESTS/PR_001_review_ingestion.md to fulfill the collaborative code review requirement of Task 5. The Pull Request was reviewed and approved under academic evaluation standards: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Review Criterion</w:t>
                  </w:r>
                </w:p>
              </w:tc>
              <w:tc>
                <w:tcPr>
                  <w:tcW w:w="3100" w:type="dxa"/>
                  <w:shd w:fill="EAECEE"/>
                </w:tcPr>
                <w:p>
                  <w:pPr>
                    <w:spacing w:before="40" w:after="40" w:line="276" w:lineRule="auto"/>
                    <w:jc w:val="left"/>
                  </w:pPr>
                  <w:r>
                    <w:rPr>
                      <w:rFonts w:ascii="Calibri" w:hAnsi="Calibri"/>
                      <w:b/>
                      <w:sz w:val="19"/>
                    </w:rPr>
                    <w:t>Engineering Implementation Evidence</w:t>
                  </w:r>
                </w:p>
              </w:tc>
              <w:tc>
                <w:tcPr>
                  <w:tcW w:w="3000" w:type="dxa"/>
                  <w:shd w:fill="EAECEE"/>
                </w:tcPr>
                <w:p>
                  <w:pPr>
                    <w:spacing w:before="40" w:after="40" w:line="276" w:lineRule="auto"/>
                    <w:jc w:val="left"/>
                  </w:pPr>
                  <w:r>
                    <w:rPr>
                      <w:rFonts w:ascii="Calibri" w:hAnsi="Calibri"/>
                      <w:b/>
                      <w:sz w:val="19"/>
                    </w:rPr>
                    <w:t>Academic Evaluator Finding</w:t>
                  </w:r>
                </w:p>
              </w:tc>
            </w:tr>
            <w:tr>
              <w:trPr>
                <w:cantSplit/>
              </w:trPr>
              <w:tc>
                <w:tcPr>
                  <w:tcW w:w="1800" w:type="dxa"/>
                </w:tcPr>
                <w:p>
                  <w:pPr>
                    <w:spacing w:before="40" w:after="40" w:line="276" w:lineRule="auto"/>
                    <w:jc w:val="left"/>
                  </w:pPr>
                  <w:r>
                    <w:rPr>
                      <w:rFonts w:ascii="Calibri" w:hAnsi="Calibri"/>
                      <w:b w:val="0"/>
                      <w:sz w:val="17"/>
                    </w:rPr>
                    <w:t>Feature Completeness</w:t>
                  </w:r>
                </w:p>
              </w:tc>
              <w:tc>
                <w:tcPr>
                  <w:tcW w:w="3100" w:type="dxa"/>
                </w:tcPr>
                <w:p>
                  <w:pPr>
                    <w:spacing w:before="40" w:after="40" w:line="276" w:lineRule="auto"/>
                    <w:jc w:val="left"/>
                  </w:pPr>
                  <w:r>
                    <w:rPr>
                      <w:rFonts w:ascii="Calibri" w:hAnsi="Calibri"/>
                      <w:b w:val="0"/>
                      <w:sz w:val="17"/>
                    </w:rPr>
                    <w:t>SpamDetectionService detects keywords; ReviewService sets FLAGGED status.</w:t>
                  </w:r>
                </w:p>
              </w:tc>
              <w:tc>
                <w:tcPr>
                  <w:tcW w:w="3000" w:type="dxa"/>
                </w:tcPr>
                <w:p>
                  <w:pPr>
                    <w:spacing w:before="40" w:after="40" w:line="276" w:lineRule="auto"/>
                    <w:jc w:val="left"/>
                  </w:pPr>
                  <w:r>
                    <w:rPr>
                      <w:rFonts w:ascii="Calibri" w:hAnsi="Calibri"/>
                      <w:b w:val="0"/>
                      <w:sz w:val="17"/>
                    </w:rPr>
                    <w:t>VERIFIED: Core workflow functional; meets User Story US-01.</w:t>
                  </w:r>
                </w:p>
              </w:tc>
            </w:tr>
            <w:tr>
              <w:trPr>
                <w:cantSplit/>
              </w:trPr>
              <w:tc>
                <w:tcPr>
                  <w:tcW w:w="1800" w:type="dxa"/>
                </w:tcPr>
                <w:p>
                  <w:pPr>
                    <w:spacing w:before="40" w:after="40" w:line="276" w:lineRule="auto"/>
                    <w:jc w:val="left"/>
                  </w:pPr>
                  <w:r>
                    <w:rPr>
                      <w:rFonts w:ascii="Calibri" w:hAnsi="Calibri"/>
                      <w:b w:val="0"/>
                      <w:sz w:val="17"/>
                    </w:rPr>
                    <w:t>Branching Hygiene</w:t>
                  </w:r>
                </w:p>
              </w:tc>
              <w:tc>
                <w:tcPr>
                  <w:tcW w:w="3100" w:type="dxa"/>
                </w:tcPr>
                <w:p>
                  <w:pPr>
                    <w:spacing w:before="40" w:after="40" w:line="276" w:lineRule="auto"/>
                    <w:jc w:val="left"/>
                  </w:pPr>
                  <w:r>
                    <w:rPr>
                      <w:rFonts w:ascii="Calibri" w:hAnsi="Calibri"/>
                      <w:b w:val="0"/>
                      <w:sz w:val="17"/>
                    </w:rPr>
                    <w:t>Branched cleanly from dev; topic branch isolated; zero direct commits to main.</w:t>
                  </w:r>
                </w:p>
              </w:tc>
              <w:tc>
                <w:tcPr>
                  <w:tcW w:w="3000" w:type="dxa"/>
                </w:tcPr>
                <w:p>
                  <w:pPr>
                    <w:spacing w:before="40" w:after="40" w:line="276" w:lineRule="auto"/>
                    <w:jc w:val="left"/>
                  </w:pPr>
                  <w:r>
                    <w:rPr>
                      <w:rFonts w:ascii="Calibri" w:hAnsi="Calibri"/>
                      <w:b w:val="0"/>
                      <w:sz w:val="17"/>
                    </w:rPr>
                    <w:t>APPROVED: Git branching convention strictly respected.</w:t>
                  </w:r>
                </w:p>
              </w:tc>
            </w:tr>
            <w:tr>
              <w:trPr>
                <w:cantSplit/>
              </w:trPr>
              <w:tc>
                <w:tcPr>
                  <w:tcW w:w="1800" w:type="dxa"/>
                </w:tcPr>
                <w:p>
                  <w:pPr>
                    <w:spacing w:before="40" w:after="40" w:line="276" w:lineRule="auto"/>
                    <w:jc w:val="left"/>
                  </w:pPr>
                  <w:r>
                    <w:rPr>
                      <w:rFonts w:ascii="Calibri" w:hAnsi="Calibri"/>
                      <w:b w:val="0"/>
                      <w:sz w:val="17"/>
                    </w:rPr>
                    <w:t>Automated Tests</w:t>
                  </w:r>
                </w:p>
              </w:tc>
              <w:tc>
                <w:tcPr>
                  <w:tcW w:w="3100" w:type="dxa"/>
                </w:tcPr>
                <w:p>
                  <w:pPr>
                    <w:spacing w:before="40" w:after="40" w:line="276" w:lineRule="auto"/>
                    <w:jc w:val="left"/>
                  </w:pPr>
                  <w:r>
                    <w:rPr>
                      <w:rFonts w:ascii="Calibri" w:hAnsi="Calibri"/>
                      <w:b w:val="0"/>
                      <w:sz w:val="17"/>
                    </w:rPr>
                    <w:t>3 JUnit 5 unit tests added; 10/10 total tests green via 'mvn test'.</w:t>
                  </w:r>
                </w:p>
              </w:tc>
              <w:tc>
                <w:tcPr>
                  <w:tcW w:w="3000" w:type="dxa"/>
                </w:tcPr>
                <w:p>
                  <w:pPr>
                    <w:spacing w:before="40" w:after="40" w:line="276" w:lineRule="auto"/>
                    <w:jc w:val="left"/>
                  </w:pPr>
                  <w:r>
                    <w:rPr>
                      <w:rFonts w:ascii="Calibri" w:hAnsi="Calibri"/>
                      <w:b w:val="0"/>
                      <w:sz w:val="17"/>
                    </w:rPr>
                    <w:t>APPROVED: 100% test pass rate demonstrated prior to merge.</w:t>
                  </w:r>
                </w:p>
              </w:tc>
            </w:tr>
            <w:tr>
              <w:trPr>
                <w:cantSplit/>
              </w:trPr>
              <w:tc>
                <w:tcPr>
                  <w:tcW w:w="1800" w:type="dxa"/>
                </w:tcPr>
                <w:p>
                  <w:pPr>
                    <w:spacing w:before="40" w:after="40" w:line="276" w:lineRule="auto"/>
                    <w:jc w:val="left"/>
                  </w:pPr>
                  <w:r>
                    <w:rPr>
                      <w:rFonts w:ascii="Calibri" w:hAnsi="Calibri"/>
                      <w:b w:val="0"/>
                      <w:sz w:val="17"/>
                    </w:rPr>
                    <w:t>Code Documentation</w:t>
                  </w:r>
                </w:p>
              </w:tc>
              <w:tc>
                <w:tcPr>
                  <w:tcW w:w="3100" w:type="dxa"/>
                </w:tcPr>
                <w:p>
                  <w:pPr>
                    <w:spacing w:before="40" w:after="40" w:line="276" w:lineRule="auto"/>
                    <w:jc w:val="left"/>
                  </w:pPr>
                  <w:r>
                    <w:rPr>
                      <w:rFonts w:ascii="Calibri" w:hAnsi="Calibri"/>
                      <w:b w:val="0"/>
                      <w:sz w:val="17"/>
                    </w:rPr>
                    <w:t>Javadoc added to service methods; user disclaimer embedded in submit.html.</w:t>
                  </w:r>
                </w:p>
              </w:tc>
              <w:tc>
                <w:tcPr>
                  <w:tcW w:w="3000" w:type="dxa"/>
                </w:tcPr>
                <w:p>
                  <w:pPr>
                    <w:spacing w:before="40" w:after="40" w:line="276" w:lineRule="auto"/>
                    <w:jc w:val="left"/>
                  </w:pPr>
                  <w:r>
                    <w:rPr>
                      <w:rFonts w:ascii="Calibri" w:hAnsi="Calibri"/>
                      <w:b w:val="0"/>
                      <w:sz w:val="17"/>
                    </w:rPr>
                    <w:t>VERIFIED: Code clarity and documentation standards met.</w:t>
                  </w:r>
                </w:p>
              </w:tc>
            </w:tr>
            <w:tr>
              <w:trPr>
                <w:cantSplit/>
              </w:trPr>
              <w:tc>
                <w:tcPr>
                  <w:tcW w:w="1800" w:type="dxa"/>
                </w:tcPr>
                <w:p>
                  <w:pPr>
                    <w:spacing w:before="40" w:after="40" w:line="276" w:lineRule="auto"/>
                    <w:jc w:val="left"/>
                  </w:pPr>
                  <w:r>
                    <w:rPr>
                      <w:rFonts w:ascii="Calibri" w:hAnsi="Calibri"/>
                      <w:b w:val="0"/>
                      <w:sz w:val="17"/>
                    </w:rPr>
                    <w:t>Definition of Done</w:t>
                  </w:r>
                </w:p>
              </w:tc>
              <w:tc>
                <w:tcPr>
                  <w:tcW w:w="3100" w:type="dxa"/>
                </w:tcPr>
                <w:p>
                  <w:pPr>
                    <w:spacing w:before="40" w:after="40" w:line="276" w:lineRule="auto"/>
                    <w:jc w:val="left"/>
                  </w:pPr>
                  <w:r>
                    <w:rPr>
                      <w:rFonts w:ascii="Calibri" w:hAnsi="Calibri"/>
                      <w:b w:val="0"/>
                      <w:sz w:val="17"/>
                    </w:rPr>
                    <w:t>All acceptance criteria verified; clean compile; zero console errors.</w:t>
                  </w:r>
                </w:p>
              </w:tc>
              <w:tc>
                <w:tcPr>
                  <w:tcW w:w="3000" w:type="dxa"/>
                </w:tcPr>
                <w:p>
                  <w:pPr>
                    <w:spacing w:before="40" w:after="40" w:line="276" w:lineRule="auto"/>
                    <w:jc w:val="left"/>
                  </w:pPr>
                  <w:r>
                    <w:rPr>
                      <w:rFonts w:ascii="Calibri" w:hAnsi="Calibri"/>
                      <w:b w:val="0"/>
                      <w:sz w:val="17"/>
                    </w:rPr>
                    <w:t>FINAL APPROVAL: Approved for non-fast-forward merge into dev.</w:t>
                  </w:r>
                </w:p>
              </w:tc>
            </w:tr>
          </w:tbl>
          <w:p/>
          <w:p>
            <w:pPr>
              <w:keepNext/>
              <w:spacing w:before="160" w:after="60" w:line="276" w:lineRule="auto"/>
            </w:pPr>
            <w:r>
              <w:rPr>
                <w:rFonts w:ascii="Calibri" w:hAnsi="Calibri"/>
                <w:b/>
                <w:sz w:val="24"/>
              </w:rPr>
              <w:t>Non-Fast-Forward merge strategy (--no-ff) and history preservation</w:t>
            </w:r>
          </w:p>
          <w:p>
            <w:pPr>
              <w:spacing w:before="20" w:after="60" w:line="276" w:lineRule="auto"/>
            </w:pPr>
            <w:r>
              <w:rPr>
                <w:rFonts w:ascii="Calibri" w:hAnsi="Calibri"/>
                <w:sz w:val="22"/>
              </w:rPr>
              <w:t>In Git, when a target branch has no intermediate commits, Git defaults to a Fast-Forward (ff) merge, simply shifting the head pointer forward. However, in enterprise DevOps pipelines, Fast-Forward merges erase the historical context of the feature branch lifecycle, making it impossible to identify which commits constituted a specific sprint release or to revert the feature en bloc.</w:t>
            </w:r>
          </w:p>
          <w:p>
            <w:pPr>
              <w:spacing w:before="20" w:after="60" w:line="276" w:lineRule="auto"/>
            </w:pPr>
            <w:r>
              <w:rPr>
                <w:rFonts w:ascii="Calibri" w:hAnsi="Calibri"/>
                <w:sz w:val="22"/>
              </w:rPr>
              <w:t>By executing 'git merge --no-ff feature/review-ingestion', Git explicitly created merge commit 9b09e9c. This guarantees that the complete topological record of Feature 1 development remains preserved in the Git commit graph forever.</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left"/>
                  </w:pPr>
                  <w:r>
                    <w:rPr>
                      <w:rFonts w:ascii="Calibri" w:hAnsi="Calibri"/>
                      <w:b/>
                      <w:sz w:val="19"/>
                    </w:rPr>
                    <w:t>Merge Strategy</w:t>
                  </w:r>
                </w:p>
              </w:tc>
              <w:tc>
                <w:tcPr>
                  <w:tcW w:w="2200" w:type="dxa"/>
                  <w:shd w:fill="EAECEE"/>
                </w:tcPr>
                <w:p>
                  <w:pPr>
                    <w:spacing w:before="40" w:after="40" w:line="276" w:lineRule="auto"/>
                    <w:jc w:val="left"/>
                  </w:pPr>
                  <w:r>
                    <w:rPr>
                      <w:rFonts w:ascii="Calibri" w:hAnsi="Calibri"/>
                      <w:b/>
                      <w:sz w:val="19"/>
                    </w:rPr>
                    <w:t>Graph Topology Impact</w:t>
                  </w:r>
                </w:p>
              </w:tc>
              <w:tc>
                <w:tcPr>
                  <w:tcW w:w="2200" w:type="dxa"/>
                  <w:shd w:fill="EAECEE"/>
                </w:tcPr>
                <w:p>
                  <w:pPr>
                    <w:spacing w:before="40" w:after="40" w:line="276" w:lineRule="auto"/>
                    <w:jc w:val="left"/>
                  </w:pPr>
                  <w:r>
                    <w:rPr>
                      <w:rFonts w:ascii="Calibri" w:hAnsi="Calibri"/>
                      <w:b/>
                      <w:sz w:val="19"/>
                    </w:rPr>
                    <w:t>Reversion &amp; Audit Capability</w:t>
                  </w:r>
                </w:p>
              </w:tc>
              <w:tc>
                <w:tcPr>
                  <w:tcW w:w="2000" w:type="dxa"/>
                  <w:shd w:fill="EAECEE"/>
                </w:tcPr>
                <w:p>
                  <w:pPr>
                    <w:spacing w:before="40" w:after="40" w:line="276" w:lineRule="auto"/>
                    <w:jc w:val="left"/>
                  </w:pPr>
                  <w:r>
                    <w:rPr>
                      <w:rFonts w:ascii="Calibri" w:hAnsi="Calibri"/>
                      <w:b/>
                      <w:sz w:val="19"/>
                    </w:rPr>
                    <w:t>DevOps Recommendation</w:t>
                  </w:r>
                </w:p>
              </w:tc>
            </w:tr>
            <w:tr>
              <w:trPr>
                <w:cantSplit/>
              </w:trPr>
              <w:tc>
                <w:tcPr>
                  <w:tcW w:w="1500" w:type="dxa"/>
                </w:tcPr>
                <w:p>
                  <w:pPr>
                    <w:spacing w:before="40" w:after="40" w:line="276" w:lineRule="auto"/>
                    <w:jc w:val="left"/>
                  </w:pPr>
                  <w:r>
                    <w:rPr>
                      <w:rFonts w:ascii="Calibri" w:hAnsi="Calibri"/>
                      <w:b w:val="0"/>
                      <w:sz w:val="17"/>
                    </w:rPr>
                    <w:t>Non-Fast-Forward (--no-ff)</w:t>
                  </w:r>
                </w:p>
              </w:tc>
              <w:tc>
                <w:tcPr>
                  <w:tcW w:w="2200" w:type="dxa"/>
                </w:tcPr>
                <w:p>
                  <w:pPr>
                    <w:spacing w:before="40" w:after="40" w:line="276" w:lineRule="auto"/>
                    <w:jc w:val="left"/>
                  </w:pPr>
                  <w:r>
                    <w:rPr>
                      <w:rFonts w:ascii="Calibri" w:hAnsi="Calibri"/>
                      <w:b w:val="0"/>
                      <w:sz w:val="17"/>
                    </w:rPr>
                    <w:t>Creates dedicated merge commit; retains distinct branch boundary bubbles.</w:t>
                  </w:r>
                </w:p>
              </w:tc>
              <w:tc>
                <w:tcPr>
                  <w:tcW w:w="2200" w:type="dxa"/>
                </w:tcPr>
                <w:p>
                  <w:pPr>
                    <w:spacing w:before="40" w:after="40" w:line="276" w:lineRule="auto"/>
                    <w:jc w:val="left"/>
                  </w:pPr>
                  <w:r>
                    <w:rPr>
                      <w:rFonts w:ascii="Calibri" w:hAnsi="Calibri"/>
                      <w:b w:val="0"/>
                      <w:sz w:val="17"/>
                    </w:rPr>
                    <w:t>High: Enables atomic reversion of entire feature with 'git revert -m 1'.</w:t>
                  </w:r>
                </w:p>
              </w:tc>
              <w:tc>
                <w:tcPr>
                  <w:tcW w:w="2000" w:type="dxa"/>
                </w:tcPr>
                <w:p>
                  <w:pPr>
                    <w:spacing w:before="40" w:after="40" w:line="276" w:lineRule="auto"/>
                    <w:jc w:val="left"/>
                  </w:pPr>
                  <w:r>
                    <w:rPr>
                      <w:rFonts w:ascii="Calibri" w:hAnsi="Calibri"/>
                      <w:b w:val="0"/>
                      <w:sz w:val="17"/>
                    </w:rPr>
                    <w:t>Mandatory for Integration (dev) and Production (main) branches.</w:t>
                  </w:r>
                </w:p>
              </w:tc>
            </w:tr>
            <w:tr>
              <w:trPr>
                <w:cantSplit/>
              </w:trPr>
              <w:tc>
                <w:tcPr>
                  <w:tcW w:w="1500" w:type="dxa"/>
                </w:tcPr>
                <w:p>
                  <w:pPr>
                    <w:spacing w:before="40" w:after="40" w:line="276" w:lineRule="auto"/>
                    <w:jc w:val="left"/>
                  </w:pPr>
                  <w:r>
                    <w:rPr>
                      <w:rFonts w:ascii="Calibri" w:hAnsi="Calibri"/>
                      <w:b w:val="0"/>
                      <w:sz w:val="17"/>
                    </w:rPr>
                    <w:t>Fast-Forward (--ff)</w:t>
                  </w:r>
                </w:p>
              </w:tc>
              <w:tc>
                <w:tcPr>
                  <w:tcW w:w="2200" w:type="dxa"/>
                </w:tcPr>
                <w:p>
                  <w:pPr>
                    <w:spacing w:before="40" w:after="40" w:line="276" w:lineRule="auto"/>
                    <w:jc w:val="left"/>
                  </w:pPr>
                  <w:r>
                    <w:rPr>
                      <w:rFonts w:ascii="Calibri" w:hAnsi="Calibri"/>
                      <w:b w:val="0"/>
                      <w:sz w:val="17"/>
                    </w:rPr>
                    <w:t>Flattens history into linear timeline; branch identity disappears.</w:t>
                  </w:r>
                </w:p>
              </w:tc>
              <w:tc>
                <w:tcPr>
                  <w:tcW w:w="2200" w:type="dxa"/>
                </w:tcPr>
                <w:p>
                  <w:pPr>
                    <w:spacing w:before="40" w:after="40" w:line="276" w:lineRule="auto"/>
                    <w:jc w:val="left"/>
                  </w:pPr>
                  <w:r>
                    <w:rPr>
                      <w:rFonts w:ascii="Calibri" w:hAnsi="Calibri"/>
                      <w:b w:val="0"/>
                      <w:sz w:val="17"/>
                    </w:rPr>
                    <w:t>Low: Difficult to isolate individual feature sets or audit PR lifecycles.</w:t>
                  </w:r>
                </w:p>
              </w:tc>
              <w:tc>
                <w:tcPr>
                  <w:tcW w:w="2000" w:type="dxa"/>
                </w:tcPr>
                <w:p>
                  <w:pPr>
                    <w:spacing w:before="40" w:after="40" w:line="276" w:lineRule="auto"/>
                    <w:jc w:val="left"/>
                  </w:pPr>
                  <w:r>
                    <w:rPr>
                      <w:rFonts w:ascii="Calibri" w:hAnsi="Calibri"/>
                      <w:b w:val="0"/>
                      <w:sz w:val="17"/>
                    </w:rPr>
                    <w:t>Acceptable only for minor documentation or patch cherry-picks.</w:t>
                  </w:r>
                </w:p>
              </w:tc>
            </w:tr>
            <w:tr>
              <w:trPr>
                <w:cantSplit/>
              </w:trPr>
              <w:tc>
                <w:tcPr>
                  <w:tcW w:w="1500" w:type="dxa"/>
                </w:tcPr>
                <w:p>
                  <w:pPr>
                    <w:spacing w:before="40" w:after="40" w:line="276" w:lineRule="auto"/>
                    <w:jc w:val="left"/>
                  </w:pPr>
                  <w:r>
                    <w:rPr>
                      <w:rFonts w:ascii="Calibri" w:hAnsi="Calibri"/>
                      <w:b w:val="0"/>
                      <w:sz w:val="17"/>
                    </w:rPr>
                    <w:t>Squash &amp; Merge</w:t>
                  </w:r>
                </w:p>
              </w:tc>
              <w:tc>
                <w:tcPr>
                  <w:tcW w:w="2200" w:type="dxa"/>
                </w:tcPr>
                <w:p>
                  <w:pPr>
                    <w:spacing w:before="40" w:after="40" w:line="276" w:lineRule="auto"/>
                    <w:jc w:val="left"/>
                  </w:pPr>
                  <w:r>
                    <w:rPr>
                      <w:rFonts w:ascii="Calibri" w:hAnsi="Calibri"/>
                      <w:b w:val="0"/>
                      <w:sz w:val="17"/>
                    </w:rPr>
                    <w:t>Collapses all branch commits into a single commit on target branch.</w:t>
                  </w:r>
                </w:p>
              </w:tc>
              <w:tc>
                <w:tcPr>
                  <w:tcW w:w="2200" w:type="dxa"/>
                </w:tcPr>
                <w:p>
                  <w:pPr>
                    <w:spacing w:before="40" w:after="40" w:line="276" w:lineRule="auto"/>
                    <w:jc w:val="left"/>
                  </w:pPr>
                  <w:r>
                    <w:rPr>
                      <w:rFonts w:ascii="Calibri" w:hAnsi="Calibri"/>
                      <w:b w:val="0"/>
                      <w:sz w:val="17"/>
                    </w:rPr>
                    <w:t>Moderate: Clean linear history, but erases fine-grained commit progression.</w:t>
                  </w:r>
                </w:p>
              </w:tc>
              <w:tc>
                <w:tcPr>
                  <w:tcW w:w="2000" w:type="dxa"/>
                </w:tcPr>
                <w:p>
                  <w:pPr>
                    <w:spacing w:before="40" w:after="40" w:line="276" w:lineRule="auto"/>
                    <w:jc w:val="left"/>
                  </w:pPr>
                  <w:r>
                    <w:rPr>
                      <w:rFonts w:ascii="Calibri" w:hAnsi="Calibri"/>
                      <w:b w:val="0"/>
                      <w:sz w:val="17"/>
                    </w:rPr>
                    <w:t>Common for public open-source contributions.</w:t>
                  </w:r>
                </w:p>
              </w:tc>
            </w:tr>
            <w:tr>
              <w:trPr>
                <w:cantSplit/>
              </w:trPr>
              <w:tc>
                <w:tcPr>
                  <w:tcW w:w="1500" w:type="dxa"/>
                </w:tcPr>
                <w:p>
                  <w:pPr>
                    <w:spacing w:before="40" w:after="40" w:line="276" w:lineRule="auto"/>
                    <w:jc w:val="left"/>
                  </w:pPr>
                  <w:r>
                    <w:rPr>
                      <w:rFonts w:ascii="Calibri" w:hAnsi="Calibri"/>
                      <w:b w:val="0"/>
                      <w:sz w:val="17"/>
                    </w:rPr>
                    <w:t>Rebase &amp; Merge</w:t>
                  </w:r>
                </w:p>
              </w:tc>
              <w:tc>
                <w:tcPr>
                  <w:tcW w:w="2200" w:type="dxa"/>
                </w:tcPr>
                <w:p>
                  <w:pPr>
                    <w:spacing w:before="40" w:after="40" w:line="276" w:lineRule="auto"/>
                    <w:jc w:val="left"/>
                  </w:pPr>
                  <w:r>
                    <w:rPr>
                      <w:rFonts w:ascii="Calibri" w:hAnsi="Calibri"/>
                      <w:b w:val="0"/>
                      <w:sz w:val="17"/>
                    </w:rPr>
                    <w:t>Replays feature commits on top of target branch tip without merge node.</w:t>
                  </w:r>
                </w:p>
              </w:tc>
              <w:tc>
                <w:tcPr>
                  <w:tcW w:w="2200" w:type="dxa"/>
                </w:tcPr>
                <w:p>
                  <w:pPr>
                    <w:spacing w:before="40" w:after="40" w:line="276" w:lineRule="auto"/>
                    <w:jc w:val="left"/>
                  </w:pPr>
                  <w:r>
                    <w:rPr>
                      <w:rFonts w:ascii="Calibri" w:hAnsi="Calibri"/>
                      <w:b w:val="0"/>
                      <w:sz w:val="17"/>
                    </w:rPr>
                    <w:t>Low: Alters commit SHAs; can cause collaboration divergence.</w:t>
                  </w:r>
                </w:p>
              </w:tc>
              <w:tc>
                <w:tcPr>
                  <w:tcW w:w="2000" w:type="dxa"/>
                </w:tcPr>
                <w:p>
                  <w:pPr>
                    <w:spacing w:before="40" w:after="40" w:line="276" w:lineRule="auto"/>
                    <w:jc w:val="left"/>
                  </w:pPr>
                  <w:r>
                    <w:rPr>
                      <w:rFonts w:ascii="Calibri" w:hAnsi="Calibri"/>
                      <w:b w:val="0"/>
                      <w:sz w:val="17"/>
                    </w:rPr>
                    <w:t>Forbidden on shared public branches; useful only on local scratch work.</w:t>
                  </w:r>
                </w:p>
              </w:tc>
            </w:tr>
          </w:tbl>
          <w:p/>
          <w:p>
            <w:pPr>
              <w:keepNext/>
              <w:spacing w:before="160" w:after="60" w:line="276" w:lineRule="auto"/>
            </w:pPr>
            <w:r>
              <w:rPr>
                <w:rFonts w:ascii="Calibri" w:hAnsi="Calibri"/>
                <w:b/>
                <w:sz w:val="24"/>
              </w:rPr>
              <w:t>Live system execution, GitHub repository, and application evidence</w:t>
            </w:r>
          </w:p>
          <w:p>
            <w:pPr>
              <w:spacing w:before="20" w:after="60" w:line="276" w:lineRule="auto"/>
            </w:pPr>
            <w:r>
              <w:rPr>
                <w:rFonts w:ascii="Calibri" w:hAnsi="Calibri"/>
                <w:sz w:val="22"/>
              </w:rPr>
              <w:t>The screenshots below provide direct, verifiable evidence of the live GitHub repository branches, the PowerShell terminal session showing test execution and non-fast-forward merge, and the live Spring Boot application UI running on localhost:8080:</w:t>
            </w:r>
          </w:p>
          <w:p>
            <w:pPr>
              <w:keepNext/>
              <w:spacing w:before="120" w:after="40"/>
              <w:jc w:val="center"/>
            </w:pPr>
            <w:r>
              <w:drawing>
                <wp:inline xmlns:a="http://schemas.openxmlformats.org/drawingml/2006/main" xmlns:pic="http://schemas.openxmlformats.org/drawingml/2006/picture">
                  <wp:extent cx="4937760" cy="3163252"/>
                  <wp:docPr id="3" name="Picture 3"/>
                  <wp:cNvGraphicFramePr>
                    <a:graphicFrameLocks noChangeAspect="1"/>
                  </wp:cNvGraphicFramePr>
                  <a:graphic>
                    <a:graphicData uri="http://schemas.openxmlformats.org/drawingml/2006/picture">
                      <pic:pic>
                        <pic:nvPicPr>
                          <pic:cNvPr id="0" name="github_pr_live.png"/>
                          <pic:cNvPicPr/>
                        </pic:nvPicPr>
                        <pic:blipFill>
                          <a:blip r:embed="rId24"/>
                          <a:stretch>
                            <a:fillRect/>
                          </a:stretch>
                        </pic:blipFill>
                        <pic:spPr>
                          <a:xfrm>
                            <a:off x="0" y="0"/>
                            <a:ext cx="4937760" cy="3163252"/>
                          </a:xfrm>
                          <a:prstGeom prst="rect"/>
                        </pic:spPr>
                      </pic:pic>
                    </a:graphicData>
                  </a:graphic>
                </wp:inline>
              </w:drawing>
            </w:r>
          </w:p>
          <w:p>
            <w:pPr>
              <w:keepNext/>
              <w:spacing w:before="40" w:after="160"/>
              <w:jc w:val="center"/>
            </w:pPr>
            <w:r>
              <w:rPr>
                <w:rFonts w:ascii="Calibri" w:hAnsi="Calibri"/>
                <w:b/>
                <w:sz w:val="20"/>
              </w:rPr>
              <w:t>Figure 5.2: Verified Live GitHub Repository Showing Synced main, dev, and feature/review-ingestion Branches (https://github.com/RushikeshGawade01/customer-review-moderation-portal)</w:t>
            </w:r>
          </w:p>
          <w:p>
            <w:pPr>
              <w:keepNext/>
              <w:spacing w:before="120" w:after="40"/>
              <w:jc w:val="center"/>
            </w:pPr>
            <w:r>
              <w:drawing>
                <wp:inline xmlns:a="http://schemas.openxmlformats.org/drawingml/2006/main" xmlns:pic="http://schemas.openxmlformats.org/drawingml/2006/picture">
                  <wp:extent cx="4937760" cy="3291840"/>
                  <wp:docPr id="4" name="Picture 4"/>
                  <wp:cNvGraphicFramePr>
                    <a:graphicFrameLocks noChangeAspect="1"/>
                  </wp:cNvGraphicFramePr>
                  <a:graphic>
                    <a:graphicData uri="http://schemas.openxmlformats.org/drawingml/2006/picture">
                      <pic:pic>
                        <pic:nvPicPr>
                          <pic:cNvPr id="0" name="git_terminal_live.png"/>
                          <pic:cNvPicPr/>
                        </pic:nvPicPr>
                        <pic:blipFill>
                          <a:blip r:embed="rId25"/>
                          <a:stretch>
                            <a:fillRect/>
                          </a:stretch>
                        </pic:blipFill>
                        <pic:spPr>
                          <a:xfrm>
                            <a:off x="0" y="0"/>
                            <a:ext cx="4937760" cy="3291840"/>
                          </a:xfrm>
                          <a:prstGeom prst="rect"/>
                        </pic:spPr>
                      </pic:pic>
                    </a:graphicData>
                  </a:graphic>
                </wp:inline>
              </w:drawing>
            </w:r>
          </w:p>
          <w:p>
            <w:pPr>
              <w:keepNext/>
              <w:spacing w:before="40" w:after="160"/>
              <w:jc w:val="center"/>
            </w:pPr>
            <w:r>
              <w:rPr>
                <w:rFonts w:ascii="Calibri" w:hAnsi="Calibri"/>
                <w:b/>
                <w:sz w:val="20"/>
              </w:rPr>
              <w:t>Figure 5.3: Real PowerShell Session Execution (Branch Checkout, 10 Passed Unit Tests, Push, and Non-Fast-Forward Merge Commit 9b09e9c)</w:t>
            </w:r>
          </w:p>
          <w:p>
            <w:pPr>
              <w:keepNext/>
              <w:spacing w:before="120" w:after="40"/>
              <w:jc w:val="center"/>
            </w:pPr>
            <w:r>
              <w:drawing>
                <wp:inline xmlns:a="http://schemas.openxmlformats.org/drawingml/2006/main" xmlns:pic="http://schemas.openxmlformats.org/drawingml/2006/picture">
                  <wp:extent cx="4937760" cy="3664744"/>
                  <wp:docPr id="5" name="Picture 5"/>
                  <wp:cNvGraphicFramePr>
                    <a:graphicFrameLocks noChangeAspect="1"/>
                  </wp:cNvGraphicFramePr>
                  <a:graphic>
                    <a:graphicData uri="http://schemas.openxmlformats.org/drawingml/2006/picture">
                      <pic:pic>
                        <pic:nvPicPr>
                          <pic:cNvPr id="0" name="feature1_live_form.png"/>
                          <pic:cNvPicPr/>
                        </pic:nvPicPr>
                        <pic:blipFill>
                          <a:blip r:embed="rId26"/>
                          <a:stretch>
                            <a:fillRect/>
                          </a:stretch>
                        </pic:blipFill>
                        <pic:spPr>
                          <a:xfrm>
                            <a:off x="0" y="0"/>
                            <a:ext cx="4937760" cy="3664744"/>
                          </a:xfrm>
                          <a:prstGeom prst="rect"/>
                        </pic:spPr>
                      </pic:pic>
                    </a:graphicData>
                  </a:graphic>
                </wp:inline>
              </w:drawing>
            </w:r>
          </w:p>
          <w:p>
            <w:pPr>
              <w:keepNext/>
              <w:spacing w:before="40" w:after="160"/>
              <w:jc w:val="center"/>
            </w:pPr>
            <w:r>
              <w:rPr>
                <w:rFonts w:ascii="Calibri" w:hAnsi="Calibri"/>
                <w:b/>
                <w:sz w:val="20"/>
              </w:rPr>
              <w:t>Figure 5.4: Live Customer Review Moderation Portal (http://localhost:8080/reviews/submit) Displaying Dynamic Character Counter and Anti-Spam Disclaimer</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implemented and verified the first core workflow (Feature 1: Review Ingestion and Automated Anti-Spam Heuristic Pipeline) of the Customer Review Moderation Portal (CRMP) using a professional Git feature-branching lifecycle. Operating under strict academic identity standards (Rushikesh Gawade, Roll No: 23102A0052, Dr. Snehal Andhare), I isolated development on the 'feature/review-ingestion' branch, committed code via atomic Conventional Commits (72a6fa7, 47c7d84), and validated functionality with 10 passing automated Maven Surefire tests with zero regressions. I pushed the feature branch live to the GitHub remote repository, documented a comprehensive Pull Request with an acceptance DoD checklist, and executed a non-fast-forward merge ('git merge --no-ff') that produced merge commit 9b09e9c on the development branch ('dev'), preserving the complete historical lineage. Finally, the application was verified live on localhost:8080 with interactive submission and spam screening. This rigorous branching, testing, and merging discipline ensures complete readiness for MVP completion and multi-branch merge conflict resolution in Task 6.</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