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Rushikesh Gawade</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23102A0052</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 xml:space="preserve">Grade and Subject </w:t>
              <w:br/>
              <w:t>Teacher's Signature</w:t>
            </w:r>
          </w:p>
        </w:tc>
        <w:tc>
          <w:tcPr>
            <w:tcW w:w="6465" w:type="dxa"/>
            <w:tcBorders>
              <w:top w:val="single" w:sz="6" w:space="0" w:color="000000"/>
              <w:left w:val="single" w:sz="6" w:space="0" w:color="000000"/>
              <w:bottom w:val="single" w:sz="6" w:space="0" w:color="000000"/>
              <w:right w:val="single" w:sz="6" w:space="0" w:color="000000"/>
            </w:tcBorders>
          </w:tcPr>
          <w:p>
            <w: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4</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Task 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Git and GitHub Repository Initialization: Create a GitHub repository for the Customer Review Moderation Portal. Add README, .gitignore, folder structure, issue templates and branch naming rules. Commit the initial application skeleton using meaningful commit messages.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0"/>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Laptop / PC (x86_64), 16 GB RAM, 512 GB NVMe SSD, Quad-Core CPU (Intel Core i5/i7 or AMD Ryzen)</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Windows 11 64-bit, Git 2.51.windows.1, GitHub Cloud Platform, Oracle JDK 21 LTS, Apache Maven 3.9.x, Spring Boot 3.3.4, VS Code / IntelliJ IDEA</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Introduction and version control governance rationale</w:t>
            </w:r>
          </w:p>
          <w:p>
            <w:pPr>
              <w:spacing w:before="20" w:after="60" w:line="276" w:lineRule="auto"/>
            </w:pPr>
            <w:r>
              <w:rPr>
                <w:rFonts w:ascii="Calibri" w:hAnsi="Calibri"/>
                <w:sz w:val="22"/>
              </w:rPr>
              <w:t>In modern DevOps engineering, Source Code Management (SCM) serves as the immutable single source of truth for all software artifacts, architectural definitions, configuration playbooks, and automated pipeline scripts. Without a disciplined version control architecture, engineering teams suffer from code overwrites, untraceable regression defects, deployment inconsistencies, and broken collaboration cadences.</w:t>
            </w:r>
          </w:p>
          <w:p>
            <w:pPr>
              <w:spacing w:before="20" w:after="60" w:line="276" w:lineRule="auto"/>
            </w:pPr>
            <w:r>
              <w:rPr>
                <w:rFonts w:ascii="Calibri" w:hAnsi="Calibri"/>
                <w:sz w:val="22"/>
              </w:rPr>
              <w:t>The objective of Task 4 is to establish, initialize, and configure the Git repository and GitHub remote baseline for the Customer Review Moderation Portal (CRMP). Operating under strict academic identity enforcement (Rushikesh Gawade, Roll No: 23102A0052, Dr. Snehal Andhare), I initialized the local Git repository, configured global author credentials, established GitHub issue governance templates, implemented a multi-tiered .gitignore policy, and baselined the initial 4-tier Spring Boot application skeleton using atomic Conventional Commits. Furthermore, I created the dev integration branch and configured the GitHub remote tracking URL to prepare for feature development in Task 5.</w:t>
            </w:r>
          </w:p>
          <w:p>
            <w:pPr>
              <w:keepNext/>
              <w:spacing w:before="160" w:after="60" w:line="276" w:lineRule="auto"/>
            </w:pPr>
            <w:r>
              <w:rPr>
                <w:rFonts w:ascii="Calibri" w:hAnsi="Calibri"/>
                <w:b/>
                <w:sz w:val="24"/>
              </w:rPr>
              <w:t>Repository URL, remote configuration, and project metadata</w:t>
            </w:r>
          </w:p>
          <w:p>
            <w:pPr>
              <w:spacing w:before="20" w:after="60" w:line="276" w:lineRule="auto"/>
            </w:pPr>
            <w:r>
              <w:rPr>
                <w:rFonts w:ascii="Calibri" w:hAnsi="Calibri"/>
                <w:sz w:val="22"/>
              </w:rPr>
              <w:t>The distributed repository was configured locally and mapped to GitHub remote tracking coordinates. The operational parameters are cataloged below:</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Configuration Parameter</w:t>
                  </w:r>
                </w:p>
              </w:tc>
              <w:tc>
                <w:tcPr>
                  <w:tcW w:w="3100" w:type="dxa"/>
                  <w:shd w:fill="EAECEE"/>
                </w:tcPr>
                <w:p>
                  <w:pPr>
                    <w:spacing w:before="40" w:after="40" w:line="276" w:lineRule="auto"/>
                    <w:jc w:val="left"/>
                  </w:pPr>
                  <w:r>
                    <w:rPr>
                      <w:rFonts w:ascii="Calibri" w:hAnsi="Calibri"/>
                      <w:b/>
                      <w:sz w:val="19"/>
                    </w:rPr>
                    <w:t>Configured Value / Setting</w:t>
                  </w:r>
                </w:p>
              </w:tc>
              <w:tc>
                <w:tcPr>
                  <w:tcW w:w="3000" w:type="dxa"/>
                  <w:shd w:fill="EAECEE"/>
                </w:tcPr>
                <w:p>
                  <w:pPr>
                    <w:spacing w:before="40" w:after="40" w:line="276" w:lineRule="auto"/>
                    <w:jc w:val="left"/>
                  </w:pPr>
                  <w:r>
                    <w:rPr>
                      <w:rFonts w:ascii="Calibri" w:hAnsi="Calibri"/>
                      <w:b/>
                      <w:sz w:val="19"/>
                    </w:rPr>
                    <w:t>Engineering &amp; Governance Purpose</w:t>
                  </w:r>
                </w:p>
              </w:tc>
            </w:tr>
            <w:tr>
              <w:trPr>
                <w:cantSplit/>
              </w:trPr>
              <w:tc>
                <w:tcPr>
                  <w:tcW w:w="1800" w:type="dxa"/>
                </w:tcPr>
                <w:p>
                  <w:pPr>
                    <w:spacing w:before="40" w:after="40" w:line="276" w:lineRule="auto"/>
                    <w:jc w:val="left"/>
                  </w:pPr>
                  <w:r>
                    <w:rPr>
                      <w:rFonts w:ascii="Calibri" w:hAnsi="Calibri"/>
                      <w:b w:val="0"/>
                      <w:sz w:val="18"/>
                    </w:rPr>
                    <w:t>Project Name</w:t>
                  </w:r>
                </w:p>
              </w:tc>
              <w:tc>
                <w:tcPr>
                  <w:tcW w:w="3100" w:type="dxa"/>
                </w:tcPr>
                <w:p>
                  <w:pPr>
                    <w:spacing w:before="40" w:after="40" w:line="276" w:lineRule="auto"/>
                    <w:jc w:val="left"/>
                  </w:pPr>
                  <w:r>
                    <w:rPr>
                      <w:rFonts w:ascii="Calibri" w:hAnsi="Calibri"/>
                      <w:b w:val="0"/>
                      <w:sz w:val="18"/>
                    </w:rPr>
                    <w:t>customer-review-moderation-portal</w:t>
                  </w:r>
                </w:p>
              </w:tc>
              <w:tc>
                <w:tcPr>
                  <w:tcW w:w="3000" w:type="dxa"/>
                </w:tcPr>
                <w:p>
                  <w:pPr>
                    <w:spacing w:before="40" w:after="40" w:line="276" w:lineRule="auto"/>
                    <w:jc w:val="left"/>
                  </w:pPr>
                  <w:r>
                    <w:rPr>
                      <w:rFonts w:ascii="Calibri" w:hAnsi="Calibri"/>
                      <w:b w:val="0"/>
                      <w:sz w:val="18"/>
                    </w:rPr>
                    <w:t>Official application artifact identifier.</w:t>
                  </w:r>
                </w:p>
              </w:tc>
            </w:tr>
            <w:tr>
              <w:trPr>
                <w:cantSplit/>
              </w:trPr>
              <w:tc>
                <w:tcPr>
                  <w:tcW w:w="1800" w:type="dxa"/>
                </w:tcPr>
                <w:p>
                  <w:pPr>
                    <w:spacing w:before="40" w:after="40" w:line="276" w:lineRule="auto"/>
                    <w:jc w:val="left"/>
                  </w:pPr>
                  <w:r>
                    <w:rPr>
                      <w:rFonts w:ascii="Calibri" w:hAnsi="Calibri"/>
                      <w:b w:val="0"/>
                      <w:sz w:val="18"/>
                    </w:rPr>
                    <w:t>Repository URL</w:t>
                  </w:r>
                </w:p>
              </w:tc>
              <w:tc>
                <w:tcPr>
                  <w:tcW w:w="3100" w:type="dxa"/>
                </w:tcPr>
                <w:p>
                  <w:pPr>
                    <w:spacing w:before="40" w:after="40" w:line="276" w:lineRule="auto"/>
                    <w:jc w:val="left"/>
                  </w:pPr>
                  <w:r>
                    <w:rPr>
                      <w:rFonts w:ascii="Calibri" w:hAnsi="Calibri"/>
                      <w:b w:val="0"/>
                      <w:sz w:val="18"/>
                    </w:rPr>
                    <w:t>https://github.com/RushikeshGawade01/customer-review-moderation-portal.git</w:t>
                  </w:r>
                </w:p>
              </w:tc>
              <w:tc>
                <w:tcPr>
                  <w:tcW w:w="3000" w:type="dxa"/>
                </w:tcPr>
                <w:p>
                  <w:pPr>
                    <w:spacing w:before="40" w:after="40" w:line="276" w:lineRule="auto"/>
                    <w:jc w:val="left"/>
                  </w:pPr>
                  <w:r>
                    <w:rPr>
                      <w:rFonts w:ascii="Calibri" w:hAnsi="Calibri"/>
                      <w:b w:val="0"/>
                      <w:sz w:val="18"/>
                    </w:rPr>
                    <w:t>Remote Git hosting &amp; CI/CD trigger webhook endpoint.</w:t>
                  </w:r>
                </w:p>
              </w:tc>
            </w:tr>
            <w:tr>
              <w:trPr>
                <w:cantSplit/>
              </w:trPr>
              <w:tc>
                <w:tcPr>
                  <w:tcW w:w="1800" w:type="dxa"/>
                </w:tcPr>
                <w:p>
                  <w:pPr>
                    <w:spacing w:before="40" w:after="40" w:line="276" w:lineRule="auto"/>
                    <w:jc w:val="left"/>
                  </w:pPr>
                  <w:r>
                    <w:rPr>
                      <w:rFonts w:ascii="Calibri" w:hAnsi="Calibri"/>
                      <w:b w:val="0"/>
                      <w:sz w:val="18"/>
                    </w:rPr>
                    <w:t>Git Version</w:t>
                  </w:r>
                </w:p>
              </w:tc>
              <w:tc>
                <w:tcPr>
                  <w:tcW w:w="3100" w:type="dxa"/>
                </w:tcPr>
                <w:p>
                  <w:pPr>
                    <w:spacing w:before="40" w:after="40" w:line="276" w:lineRule="auto"/>
                    <w:jc w:val="left"/>
                  </w:pPr>
                  <w:r>
                    <w:rPr>
                      <w:rFonts w:ascii="Calibri" w:hAnsi="Calibri"/>
                      <w:b w:val="0"/>
                      <w:sz w:val="18"/>
                    </w:rPr>
                    <w:t>git version 2.51.0.windows.1</w:t>
                  </w:r>
                </w:p>
              </w:tc>
              <w:tc>
                <w:tcPr>
                  <w:tcW w:w="3000" w:type="dxa"/>
                </w:tcPr>
                <w:p>
                  <w:pPr>
                    <w:spacing w:before="40" w:after="40" w:line="276" w:lineRule="auto"/>
                    <w:jc w:val="left"/>
                  </w:pPr>
                  <w:r>
                    <w:rPr>
                      <w:rFonts w:ascii="Calibri" w:hAnsi="Calibri"/>
                      <w:b w:val="0"/>
                      <w:sz w:val="18"/>
                    </w:rPr>
                    <w:t>Standard distributed version control CLI engine.</w:t>
                  </w:r>
                </w:p>
              </w:tc>
            </w:tr>
            <w:tr>
              <w:trPr>
                <w:cantSplit/>
              </w:trPr>
              <w:tc>
                <w:tcPr>
                  <w:tcW w:w="1800" w:type="dxa"/>
                </w:tcPr>
                <w:p>
                  <w:pPr>
                    <w:spacing w:before="40" w:after="40" w:line="276" w:lineRule="auto"/>
                    <w:jc w:val="left"/>
                  </w:pPr>
                  <w:r>
                    <w:rPr>
                      <w:rFonts w:ascii="Calibri" w:hAnsi="Calibri"/>
                      <w:b w:val="0"/>
                      <w:sz w:val="18"/>
                    </w:rPr>
                    <w:t>Configured Author</w:t>
                  </w:r>
                </w:p>
              </w:tc>
              <w:tc>
                <w:tcPr>
                  <w:tcW w:w="3100" w:type="dxa"/>
                </w:tcPr>
                <w:p>
                  <w:pPr>
                    <w:spacing w:before="40" w:after="40" w:line="276" w:lineRule="auto"/>
                    <w:jc w:val="left"/>
                  </w:pPr>
                  <w:r>
                    <w:rPr>
                      <w:rFonts w:ascii="Calibri" w:hAnsi="Calibri"/>
                      <w:b w:val="0"/>
                      <w:sz w:val="18"/>
                    </w:rPr>
                    <w:t>Rushikesh Gawade</w:t>
                  </w:r>
                </w:p>
              </w:tc>
              <w:tc>
                <w:tcPr>
                  <w:tcW w:w="3000" w:type="dxa"/>
                </w:tcPr>
                <w:p>
                  <w:pPr>
                    <w:spacing w:before="40" w:after="40" w:line="276" w:lineRule="auto"/>
                    <w:jc w:val="left"/>
                  </w:pPr>
                  <w:r>
                    <w:rPr>
                      <w:rFonts w:ascii="Calibri" w:hAnsi="Calibri"/>
                      <w:b w:val="0"/>
                      <w:sz w:val="18"/>
                    </w:rPr>
                    <w:t>Enforces commit author authenticity and academic audit trail.</w:t>
                  </w:r>
                </w:p>
              </w:tc>
            </w:tr>
            <w:tr>
              <w:trPr>
                <w:cantSplit/>
              </w:trPr>
              <w:tc>
                <w:tcPr>
                  <w:tcW w:w="1800" w:type="dxa"/>
                </w:tcPr>
                <w:p>
                  <w:pPr>
                    <w:spacing w:before="40" w:after="40" w:line="276" w:lineRule="auto"/>
                    <w:jc w:val="left"/>
                  </w:pPr>
                  <w:r>
                    <w:rPr>
                      <w:rFonts w:ascii="Calibri" w:hAnsi="Calibri"/>
                      <w:b w:val="0"/>
                      <w:sz w:val="18"/>
                    </w:rPr>
                    <w:t>Author Email</w:t>
                  </w:r>
                </w:p>
              </w:tc>
              <w:tc>
                <w:tcPr>
                  <w:tcW w:w="3100" w:type="dxa"/>
                </w:tcPr>
                <w:p>
                  <w:pPr>
                    <w:spacing w:before="40" w:after="40" w:line="276" w:lineRule="auto"/>
                    <w:jc w:val="left"/>
                  </w:pPr>
                  <w:r>
                    <w:rPr>
                      <w:rFonts w:ascii="Calibri" w:hAnsi="Calibri"/>
                      <w:b w:val="0"/>
                      <w:sz w:val="18"/>
                    </w:rPr>
                    <w:t>gawaderushikesh576@gmail.com</w:t>
                  </w:r>
                </w:p>
              </w:tc>
              <w:tc>
                <w:tcPr>
                  <w:tcW w:w="3000" w:type="dxa"/>
                </w:tcPr>
                <w:p>
                  <w:pPr>
                    <w:spacing w:before="40" w:after="40" w:line="276" w:lineRule="auto"/>
                    <w:jc w:val="left"/>
                  </w:pPr>
                  <w:r>
                    <w:rPr>
                      <w:rFonts w:ascii="Calibri" w:hAnsi="Calibri"/>
                      <w:b w:val="0"/>
                      <w:sz w:val="18"/>
                    </w:rPr>
                    <w:t>Associated primary email for signed commit verification.</w:t>
                  </w:r>
                </w:p>
              </w:tc>
            </w:tr>
            <w:tr>
              <w:trPr>
                <w:cantSplit/>
              </w:trPr>
              <w:tc>
                <w:tcPr>
                  <w:tcW w:w="1800" w:type="dxa"/>
                </w:tcPr>
                <w:p>
                  <w:pPr>
                    <w:spacing w:before="40" w:after="40" w:line="276" w:lineRule="auto"/>
                    <w:jc w:val="left"/>
                  </w:pPr>
                  <w:r>
                    <w:rPr>
                      <w:rFonts w:ascii="Calibri" w:hAnsi="Calibri"/>
                      <w:b w:val="0"/>
                      <w:sz w:val="18"/>
                    </w:rPr>
                    <w:t>Default Head Branch</w:t>
                  </w:r>
                </w:p>
              </w:tc>
              <w:tc>
                <w:tcPr>
                  <w:tcW w:w="3100" w:type="dxa"/>
                </w:tcPr>
                <w:p>
                  <w:pPr>
                    <w:spacing w:before="40" w:after="40" w:line="276" w:lineRule="auto"/>
                    <w:jc w:val="left"/>
                  </w:pPr>
                  <w:r>
                    <w:rPr>
                      <w:rFonts w:ascii="Calibri" w:hAnsi="Calibri"/>
                      <w:b w:val="0"/>
                      <w:sz w:val="18"/>
                    </w:rPr>
                    <w:t>dev (Integration) / main (Protected Production)</w:t>
                  </w:r>
                </w:p>
              </w:tc>
              <w:tc>
                <w:tcPr>
                  <w:tcW w:w="3000" w:type="dxa"/>
                </w:tcPr>
                <w:p>
                  <w:pPr>
                    <w:spacing w:before="40" w:after="40" w:line="276" w:lineRule="auto"/>
                    <w:jc w:val="left"/>
                  </w:pPr>
                  <w:r>
                    <w:rPr>
                      <w:rFonts w:ascii="Calibri" w:hAnsi="Calibri"/>
                      <w:b w:val="0"/>
                      <w:sz w:val="18"/>
                    </w:rPr>
                    <w:t>Enforces dual-branch integration baseline preventing direct main pushes.</w:t>
                  </w:r>
                </w:p>
              </w:tc>
            </w:tr>
          </w:tbl>
          <w:p/>
          <w:p>
            <w:pPr>
              <w:keepNext/>
              <w:spacing w:before="160" w:after="60" w:line="276" w:lineRule="auto"/>
            </w:pPr>
            <w:r>
              <w:rPr>
                <w:rFonts w:ascii="Calibri" w:hAnsi="Calibri"/>
                <w:b/>
                <w:sz w:val="24"/>
              </w:rPr>
              <w:t>Project directory structure and governance hierarchy</w:t>
            </w:r>
          </w:p>
          <w:p>
            <w:pPr>
              <w:spacing w:before="20" w:after="60" w:line="276" w:lineRule="auto"/>
            </w:pPr>
            <w:r>
              <w:rPr>
                <w:rFonts w:ascii="Calibri" w:hAnsi="Calibri"/>
                <w:sz w:val="22"/>
              </w:rPr>
              <w:t>The repository follows Maven standard directory conventions augmented with DevOps governance and automated documentation directories: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2200" w:type="dxa"/>
                  <w:shd w:fill="EAECEE"/>
                </w:tcPr>
                <w:p>
                  <w:pPr>
                    <w:spacing w:before="40" w:after="40" w:line="276" w:lineRule="auto"/>
                    <w:jc w:val="left"/>
                  </w:pPr>
                  <w:r>
                    <w:rPr>
                      <w:rFonts w:ascii="Calibri" w:hAnsi="Calibri"/>
                      <w:b/>
                      <w:sz w:val="19"/>
                    </w:rPr>
                    <w:t>Directory / File Path</w:t>
                  </w:r>
                </w:p>
              </w:tc>
              <w:tc>
                <w:tcPr>
                  <w:tcW w:w="2400" w:type="dxa"/>
                  <w:shd w:fill="EAECEE"/>
                </w:tcPr>
                <w:p>
                  <w:pPr>
                    <w:spacing w:before="40" w:after="40" w:line="276" w:lineRule="auto"/>
                    <w:jc w:val="left"/>
                  </w:pPr>
                  <w:r>
                    <w:rPr>
                      <w:rFonts w:ascii="Calibri" w:hAnsi="Calibri"/>
                      <w:b/>
                      <w:sz w:val="19"/>
                    </w:rPr>
                    <w:t>Artifact Category</w:t>
                  </w:r>
                </w:p>
              </w:tc>
              <w:tc>
                <w:tcPr>
                  <w:tcW w:w="3300" w:type="dxa"/>
                  <w:shd w:fill="EAECEE"/>
                </w:tcPr>
                <w:p>
                  <w:pPr>
                    <w:spacing w:before="40" w:after="40" w:line="276" w:lineRule="auto"/>
                    <w:jc w:val="left"/>
                  </w:pPr>
                  <w:r>
                    <w:rPr>
                      <w:rFonts w:ascii="Calibri" w:hAnsi="Calibri"/>
                      <w:b/>
                      <w:sz w:val="19"/>
                    </w:rPr>
                    <w:t>DevOps Lifecycle Function</w:t>
                  </w:r>
                </w:p>
              </w:tc>
            </w:tr>
            <w:tr>
              <w:trPr>
                <w:cantSplit/>
              </w:trPr>
              <w:tc>
                <w:tcPr>
                  <w:tcW w:w="2200" w:type="dxa"/>
                </w:tcPr>
                <w:p>
                  <w:pPr>
                    <w:spacing w:before="40" w:after="40" w:line="276" w:lineRule="auto"/>
                    <w:jc w:val="left"/>
                  </w:pPr>
                  <w:r>
                    <w:rPr>
                      <w:rFonts w:ascii="Calibri" w:hAnsi="Calibri"/>
                      <w:b w:val="0"/>
                      <w:sz w:val="17"/>
                    </w:rPr>
                    <w:t>.github/ISSUE_TEMPLATE/</w:t>
                  </w:r>
                </w:p>
              </w:tc>
              <w:tc>
                <w:tcPr>
                  <w:tcW w:w="2400" w:type="dxa"/>
                </w:tcPr>
                <w:p>
                  <w:pPr>
                    <w:spacing w:before="40" w:after="40" w:line="276" w:lineRule="auto"/>
                    <w:jc w:val="left"/>
                  </w:pPr>
                  <w:r>
                    <w:rPr>
                      <w:rFonts w:ascii="Calibri" w:hAnsi="Calibri"/>
                      <w:b w:val="0"/>
                      <w:sz w:val="17"/>
                    </w:rPr>
                    <w:t>Issue Governance</w:t>
                  </w:r>
                </w:p>
              </w:tc>
              <w:tc>
                <w:tcPr>
                  <w:tcW w:w="3300" w:type="dxa"/>
                </w:tcPr>
                <w:p>
                  <w:pPr>
                    <w:spacing w:before="40" w:after="40" w:line="276" w:lineRule="auto"/>
                    <w:jc w:val="left"/>
                  </w:pPr>
                  <w:r>
                    <w:rPr>
                      <w:rFonts w:ascii="Calibri" w:hAnsi="Calibri"/>
                      <w:b w:val="0"/>
                      <w:sz w:val="17"/>
                    </w:rPr>
                    <w:t>Standardized Markdown templates for bug reports and feature requests.</w:t>
                  </w:r>
                </w:p>
              </w:tc>
            </w:tr>
            <w:tr>
              <w:trPr>
                <w:cantSplit/>
              </w:trPr>
              <w:tc>
                <w:tcPr>
                  <w:tcW w:w="2200" w:type="dxa"/>
                </w:tcPr>
                <w:p>
                  <w:pPr>
                    <w:spacing w:before="40" w:after="40" w:line="276" w:lineRule="auto"/>
                    <w:jc w:val="left"/>
                  </w:pPr>
                  <w:r>
                    <w:rPr>
                      <w:rFonts w:ascii="Calibri" w:hAnsi="Calibri"/>
                      <w:b w:val="0"/>
                      <w:sz w:val="17"/>
                    </w:rPr>
                    <w:t>.gitignore</w:t>
                  </w:r>
                </w:p>
              </w:tc>
              <w:tc>
                <w:tcPr>
                  <w:tcW w:w="2400" w:type="dxa"/>
                </w:tcPr>
                <w:p>
                  <w:pPr>
                    <w:spacing w:before="40" w:after="40" w:line="276" w:lineRule="auto"/>
                    <w:jc w:val="left"/>
                  </w:pPr>
                  <w:r>
                    <w:rPr>
                      <w:rFonts w:ascii="Calibri" w:hAnsi="Calibri"/>
                      <w:b w:val="0"/>
                      <w:sz w:val="17"/>
                    </w:rPr>
                    <w:t>SCM Exclusion Rules</w:t>
                  </w:r>
                </w:p>
              </w:tc>
              <w:tc>
                <w:tcPr>
                  <w:tcW w:w="3300" w:type="dxa"/>
                </w:tcPr>
                <w:p>
                  <w:pPr>
                    <w:spacing w:before="40" w:after="40" w:line="276" w:lineRule="auto"/>
                    <w:jc w:val="left"/>
                  </w:pPr>
                  <w:r>
                    <w:rPr>
                      <w:rFonts w:ascii="Calibri" w:hAnsi="Calibri"/>
                      <w:b w:val="0"/>
                      <w:sz w:val="17"/>
                    </w:rPr>
                    <w:t>Prevents compilation binaries, IDE metadata, and temp files from polluting Git.</w:t>
                  </w:r>
                </w:p>
              </w:tc>
            </w:tr>
            <w:tr>
              <w:trPr>
                <w:cantSplit/>
              </w:trPr>
              <w:tc>
                <w:tcPr>
                  <w:tcW w:w="2200" w:type="dxa"/>
                </w:tcPr>
                <w:p>
                  <w:pPr>
                    <w:spacing w:before="40" w:after="40" w:line="276" w:lineRule="auto"/>
                    <w:jc w:val="left"/>
                  </w:pPr>
                  <w:r>
                    <w:rPr>
                      <w:rFonts w:ascii="Calibri" w:hAnsi="Calibri"/>
                      <w:b w:val="0"/>
                      <w:sz w:val="17"/>
                    </w:rPr>
                    <w:t>README.md</w:t>
                  </w:r>
                </w:p>
              </w:tc>
              <w:tc>
                <w:tcPr>
                  <w:tcW w:w="2400" w:type="dxa"/>
                </w:tcPr>
                <w:p>
                  <w:pPr>
                    <w:spacing w:before="40" w:after="40" w:line="276" w:lineRule="auto"/>
                    <w:jc w:val="left"/>
                  </w:pPr>
                  <w:r>
                    <w:rPr>
                      <w:rFonts w:ascii="Calibri" w:hAnsi="Calibri"/>
                      <w:b w:val="0"/>
                      <w:sz w:val="17"/>
                    </w:rPr>
                    <w:t>Project Documentation</w:t>
                  </w:r>
                </w:p>
              </w:tc>
              <w:tc>
                <w:tcPr>
                  <w:tcW w:w="3300" w:type="dxa"/>
                </w:tcPr>
                <w:p>
                  <w:pPr>
                    <w:spacing w:before="40" w:after="40" w:line="276" w:lineRule="auto"/>
                    <w:jc w:val="left"/>
                  </w:pPr>
                  <w:r>
                    <w:rPr>
                      <w:rFonts w:ascii="Calibri" w:hAnsi="Calibri"/>
                      <w:b w:val="0"/>
                      <w:sz w:val="17"/>
                    </w:rPr>
                    <w:t>Comprehensive architecture overview, build steps, and contribution rules.</w:t>
                  </w:r>
                </w:p>
              </w:tc>
            </w:tr>
            <w:tr>
              <w:trPr>
                <w:cantSplit/>
              </w:trPr>
              <w:tc>
                <w:tcPr>
                  <w:tcW w:w="2200" w:type="dxa"/>
                </w:tcPr>
                <w:p>
                  <w:pPr>
                    <w:spacing w:before="40" w:after="40" w:line="276" w:lineRule="auto"/>
                    <w:jc w:val="left"/>
                  </w:pPr>
                  <w:r>
                    <w:rPr>
                      <w:rFonts w:ascii="Calibri" w:hAnsi="Calibri"/>
                      <w:b w:val="0"/>
                      <w:sz w:val="17"/>
                    </w:rPr>
                    <w:t>pom.xml</w:t>
                  </w:r>
                </w:p>
              </w:tc>
              <w:tc>
                <w:tcPr>
                  <w:tcW w:w="2400" w:type="dxa"/>
                </w:tcPr>
                <w:p>
                  <w:pPr>
                    <w:spacing w:before="40" w:after="40" w:line="276" w:lineRule="auto"/>
                    <w:jc w:val="left"/>
                  </w:pPr>
                  <w:r>
                    <w:rPr>
                      <w:rFonts w:ascii="Calibri" w:hAnsi="Calibri"/>
                      <w:b w:val="0"/>
                      <w:sz w:val="17"/>
                    </w:rPr>
                    <w:t>Maven Build Descriptor</w:t>
                  </w:r>
                </w:p>
              </w:tc>
              <w:tc>
                <w:tcPr>
                  <w:tcW w:w="3300" w:type="dxa"/>
                </w:tcPr>
                <w:p>
                  <w:pPr>
                    <w:spacing w:before="40" w:after="40" w:line="276" w:lineRule="auto"/>
                    <w:jc w:val="left"/>
                  </w:pPr>
                  <w:r>
                    <w:rPr>
                      <w:rFonts w:ascii="Calibri" w:hAnsi="Calibri"/>
                      <w:b w:val="0"/>
                      <w:sz w:val="17"/>
                    </w:rPr>
                    <w:t>Defines Spring Boot 3.3.4 parent, Java 21 LTS runtime, and dependencies.</w:t>
                  </w:r>
                </w:p>
              </w:tc>
            </w:tr>
            <w:tr>
              <w:trPr>
                <w:cantSplit/>
              </w:trPr>
              <w:tc>
                <w:tcPr>
                  <w:tcW w:w="2200" w:type="dxa"/>
                </w:tcPr>
                <w:p>
                  <w:pPr>
                    <w:spacing w:before="40" w:after="40" w:line="276" w:lineRule="auto"/>
                    <w:jc w:val="left"/>
                  </w:pPr>
                  <w:r>
                    <w:rPr>
                      <w:rFonts w:ascii="Calibri" w:hAnsi="Calibri"/>
                      <w:b w:val="0"/>
                      <w:sz w:val="17"/>
                    </w:rPr>
                    <w:t>src/main/java/com/devops/crmp/</w:t>
                  </w:r>
                </w:p>
              </w:tc>
              <w:tc>
                <w:tcPr>
                  <w:tcW w:w="2400" w:type="dxa"/>
                </w:tcPr>
                <w:p>
                  <w:pPr>
                    <w:spacing w:before="40" w:after="40" w:line="276" w:lineRule="auto"/>
                    <w:jc w:val="left"/>
                  </w:pPr>
                  <w:r>
                    <w:rPr>
                      <w:rFonts w:ascii="Calibri" w:hAnsi="Calibri"/>
                      <w:b w:val="0"/>
                      <w:sz w:val="17"/>
                    </w:rPr>
                    <w:t>Application Source Code</w:t>
                  </w:r>
                </w:p>
              </w:tc>
              <w:tc>
                <w:tcPr>
                  <w:tcW w:w="3300" w:type="dxa"/>
                </w:tcPr>
                <w:p>
                  <w:pPr>
                    <w:spacing w:before="40" w:after="40" w:line="276" w:lineRule="auto"/>
                    <w:jc w:val="left"/>
                  </w:pPr>
                  <w:r>
                    <w:rPr>
                      <w:rFonts w:ascii="Calibri" w:hAnsi="Calibri"/>
                      <w:b w:val="0"/>
                      <w:sz w:val="17"/>
                    </w:rPr>
                    <w:t>4-tier architecture: model, repository, service, and controller layers.</w:t>
                  </w:r>
                </w:p>
              </w:tc>
            </w:tr>
            <w:tr>
              <w:trPr>
                <w:cantSplit/>
              </w:trPr>
              <w:tc>
                <w:tcPr>
                  <w:tcW w:w="2200" w:type="dxa"/>
                </w:tcPr>
                <w:p>
                  <w:pPr>
                    <w:spacing w:before="40" w:after="40" w:line="276" w:lineRule="auto"/>
                    <w:jc w:val="left"/>
                  </w:pPr>
                  <w:r>
                    <w:rPr>
                      <w:rFonts w:ascii="Calibri" w:hAnsi="Calibri"/>
                      <w:b w:val="0"/>
                      <w:sz w:val="17"/>
                    </w:rPr>
                    <w:t>src/main/resources/</w:t>
                  </w:r>
                </w:p>
              </w:tc>
              <w:tc>
                <w:tcPr>
                  <w:tcW w:w="2400" w:type="dxa"/>
                </w:tcPr>
                <w:p>
                  <w:pPr>
                    <w:spacing w:before="40" w:after="40" w:line="276" w:lineRule="auto"/>
                    <w:jc w:val="left"/>
                  </w:pPr>
                  <w:r>
                    <w:rPr>
                      <w:rFonts w:ascii="Calibri" w:hAnsi="Calibri"/>
                      <w:b w:val="0"/>
                      <w:sz w:val="17"/>
                    </w:rPr>
                    <w:t>Application Configuration</w:t>
                  </w:r>
                </w:p>
              </w:tc>
              <w:tc>
                <w:tcPr>
                  <w:tcW w:w="3300" w:type="dxa"/>
                </w:tcPr>
                <w:p>
                  <w:pPr>
                    <w:spacing w:before="40" w:after="40" w:line="276" w:lineRule="auto"/>
                    <w:jc w:val="left"/>
                  </w:pPr>
                  <w:r>
                    <w:rPr>
                      <w:rFonts w:ascii="Calibri" w:hAnsi="Calibri"/>
                      <w:b w:val="0"/>
                      <w:sz w:val="17"/>
                    </w:rPr>
                    <w:t>application.properties, H2 config, and Thymeleaf Bootstrap 5 templates.</w:t>
                  </w:r>
                </w:p>
              </w:tc>
            </w:tr>
            <w:tr>
              <w:trPr>
                <w:cantSplit/>
              </w:trPr>
              <w:tc>
                <w:tcPr>
                  <w:tcW w:w="2200" w:type="dxa"/>
                </w:tcPr>
                <w:p>
                  <w:pPr>
                    <w:spacing w:before="40" w:after="40" w:line="276" w:lineRule="auto"/>
                    <w:jc w:val="left"/>
                  </w:pPr>
                  <w:r>
                    <w:rPr>
                      <w:rFonts w:ascii="Calibri" w:hAnsi="Calibri"/>
                      <w:b w:val="0"/>
                      <w:sz w:val="17"/>
                    </w:rPr>
                    <w:t>src/test/java/com/devops/crmp/</w:t>
                  </w:r>
                </w:p>
              </w:tc>
              <w:tc>
                <w:tcPr>
                  <w:tcW w:w="2400" w:type="dxa"/>
                </w:tcPr>
                <w:p>
                  <w:pPr>
                    <w:spacing w:before="40" w:after="40" w:line="276" w:lineRule="auto"/>
                    <w:jc w:val="left"/>
                  </w:pPr>
                  <w:r>
                    <w:rPr>
                      <w:rFonts w:ascii="Calibri" w:hAnsi="Calibri"/>
                      <w:b w:val="0"/>
                      <w:sz w:val="17"/>
                    </w:rPr>
                    <w:t>Automated Test Suite</w:t>
                  </w:r>
                </w:p>
              </w:tc>
              <w:tc>
                <w:tcPr>
                  <w:tcW w:w="3300" w:type="dxa"/>
                </w:tcPr>
                <w:p>
                  <w:pPr>
                    <w:spacing w:before="40" w:after="40" w:line="276" w:lineRule="auto"/>
                    <w:jc w:val="left"/>
                  </w:pPr>
                  <w:r>
                    <w:rPr>
                      <w:rFonts w:ascii="Calibri" w:hAnsi="Calibri"/>
                      <w:b w:val="0"/>
                      <w:sz w:val="17"/>
                    </w:rPr>
                    <w:t>Surefire integration tests asserting Web MVC and Actuator UP status.</w:t>
                  </w:r>
                </w:p>
              </w:tc>
            </w:tr>
          </w:tbl>
          <w:p/>
          <w:p>
            <w:pPr>
              <w:keepNext/>
              <w:spacing w:before="160" w:after="60" w:line="276" w:lineRule="auto"/>
            </w:pPr>
            <w:r>
              <w:rPr>
                <w:rFonts w:ascii="Calibri" w:hAnsi="Calibri"/>
                <w:b/>
                <w:sz w:val="24"/>
              </w:rPr>
              <w:t>.gitignore exclusion policy and build artifact isolation</w:t>
            </w:r>
          </w:p>
          <w:p>
            <w:pPr>
              <w:spacing w:before="20" w:after="60" w:line="276" w:lineRule="auto"/>
            </w:pPr>
            <w:r>
              <w:rPr>
                <w:rFonts w:ascii="Calibri" w:hAnsi="Calibri"/>
                <w:sz w:val="22"/>
              </w:rPr>
              <w:t>A rigorous .gitignore policy is essential in CI/CD environments to avoid commiting transient binaries, IDE settings, and OS metadata. Storing compiled .class files or target/ jars bloated git history and causes merge conflicts between developers on different platforms: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800" w:type="dxa"/>
                  <w:shd w:fill="EAECEE"/>
                </w:tcPr>
                <w:p>
                  <w:pPr>
                    <w:spacing w:before="40" w:after="40" w:line="276" w:lineRule="auto"/>
                    <w:jc w:val="left"/>
                  </w:pPr>
                  <w:r>
                    <w:rPr>
                      <w:rFonts w:ascii="Calibri" w:hAnsi="Calibri"/>
                      <w:b/>
                      <w:sz w:val="19"/>
                    </w:rPr>
                    <w:t>Exclusion Pattern</w:t>
                  </w:r>
                </w:p>
              </w:tc>
              <w:tc>
                <w:tcPr>
                  <w:tcW w:w="3100" w:type="dxa"/>
                  <w:shd w:fill="EAECEE"/>
                </w:tcPr>
                <w:p>
                  <w:pPr>
                    <w:spacing w:before="40" w:after="40" w:line="276" w:lineRule="auto"/>
                    <w:jc w:val="left"/>
                  </w:pPr>
                  <w:r>
                    <w:rPr>
                      <w:rFonts w:ascii="Calibri" w:hAnsi="Calibri"/>
                      <w:b/>
                      <w:sz w:val="19"/>
                    </w:rPr>
                    <w:t>Target Files / Folders</w:t>
                  </w:r>
                </w:p>
              </w:tc>
              <w:tc>
                <w:tcPr>
                  <w:tcW w:w="3000" w:type="dxa"/>
                  <w:shd w:fill="EAECEE"/>
                </w:tcPr>
                <w:p>
                  <w:pPr>
                    <w:spacing w:before="40" w:after="40" w:line="276" w:lineRule="auto"/>
                    <w:jc w:val="left"/>
                  </w:pPr>
                  <w:r>
                    <w:rPr>
                      <w:rFonts w:ascii="Calibri" w:hAnsi="Calibri"/>
                      <w:b/>
                      <w:sz w:val="19"/>
                    </w:rPr>
                    <w:t>DevOps Protection Rationale</w:t>
                  </w:r>
                </w:p>
              </w:tc>
            </w:tr>
            <w:tr>
              <w:trPr>
                <w:cantSplit/>
              </w:trPr>
              <w:tc>
                <w:tcPr>
                  <w:tcW w:w="1800" w:type="dxa"/>
                </w:tcPr>
                <w:p>
                  <w:pPr>
                    <w:spacing w:before="40" w:after="40" w:line="276" w:lineRule="auto"/>
                    <w:jc w:val="left"/>
                  </w:pPr>
                  <w:r>
                    <w:rPr>
                      <w:rFonts w:ascii="Calibri" w:hAnsi="Calibri"/>
                      <w:b w:val="0"/>
                      <w:sz w:val="17"/>
                    </w:rPr>
                    <w:t>target/, *.jar, *.class</w:t>
                  </w:r>
                </w:p>
              </w:tc>
              <w:tc>
                <w:tcPr>
                  <w:tcW w:w="3100" w:type="dxa"/>
                </w:tcPr>
                <w:p>
                  <w:pPr>
                    <w:spacing w:before="40" w:after="40" w:line="276" w:lineRule="auto"/>
                    <w:jc w:val="left"/>
                  </w:pPr>
                  <w:r>
                    <w:rPr>
                      <w:rFonts w:ascii="Calibri" w:hAnsi="Calibri"/>
                      <w:b w:val="0"/>
                      <w:sz w:val="17"/>
                    </w:rPr>
                    <w:t>Maven compilation output and packaged archives</w:t>
                  </w:r>
                </w:p>
              </w:tc>
              <w:tc>
                <w:tcPr>
                  <w:tcW w:w="3000" w:type="dxa"/>
                </w:tcPr>
                <w:p>
                  <w:pPr>
                    <w:spacing w:before="40" w:after="40" w:line="276" w:lineRule="auto"/>
                    <w:jc w:val="left"/>
                  </w:pPr>
                  <w:r>
                    <w:rPr>
                      <w:rFonts w:ascii="Calibri" w:hAnsi="Calibri"/>
                      <w:b w:val="0"/>
                      <w:sz w:val="17"/>
                    </w:rPr>
                    <w:t>Prevents large transient binaries from bloating Git history and causing merge collisions.</w:t>
                  </w:r>
                </w:p>
              </w:tc>
            </w:tr>
            <w:tr>
              <w:trPr>
                <w:cantSplit/>
              </w:trPr>
              <w:tc>
                <w:tcPr>
                  <w:tcW w:w="1800" w:type="dxa"/>
                </w:tcPr>
                <w:p>
                  <w:pPr>
                    <w:spacing w:before="40" w:after="40" w:line="276" w:lineRule="auto"/>
                    <w:jc w:val="left"/>
                  </w:pPr>
                  <w:r>
                    <w:rPr>
                      <w:rFonts w:ascii="Calibri" w:hAnsi="Calibri"/>
                      <w:b w:val="0"/>
                      <w:sz w:val="17"/>
                    </w:rPr>
                    <w:t>.idea/, *.iml, .vscode/</w:t>
                  </w:r>
                </w:p>
              </w:tc>
              <w:tc>
                <w:tcPr>
                  <w:tcW w:w="3100" w:type="dxa"/>
                </w:tcPr>
                <w:p>
                  <w:pPr>
                    <w:spacing w:before="40" w:after="40" w:line="276" w:lineRule="auto"/>
                    <w:jc w:val="left"/>
                  </w:pPr>
                  <w:r>
                    <w:rPr>
                      <w:rFonts w:ascii="Calibri" w:hAnsi="Calibri"/>
                      <w:b w:val="0"/>
                      <w:sz w:val="17"/>
                    </w:rPr>
                    <w:t>IntelliJ IDEA &amp; VS Code user workspace caches</w:t>
                  </w:r>
                </w:p>
              </w:tc>
              <w:tc>
                <w:tcPr>
                  <w:tcW w:w="3000" w:type="dxa"/>
                </w:tcPr>
                <w:p>
                  <w:pPr>
                    <w:spacing w:before="40" w:after="40" w:line="276" w:lineRule="auto"/>
                    <w:jc w:val="left"/>
                  </w:pPr>
                  <w:r>
                    <w:rPr>
                      <w:rFonts w:ascii="Calibri" w:hAnsi="Calibri"/>
                      <w:b w:val="0"/>
                      <w:sz w:val="17"/>
                    </w:rPr>
                    <w:t>Eliminates developer-specific IDE preference drift across cross-platform team environments.</w:t>
                  </w:r>
                </w:p>
              </w:tc>
            </w:tr>
            <w:tr>
              <w:trPr>
                <w:cantSplit/>
              </w:trPr>
              <w:tc>
                <w:tcPr>
                  <w:tcW w:w="1800" w:type="dxa"/>
                </w:tcPr>
                <w:p>
                  <w:pPr>
                    <w:spacing w:before="40" w:after="40" w:line="276" w:lineRule="auto"/>
                    <w:jc w:val="left"/>
                  </w:pPr>
                  <w:r>
                    <w:rPr>
                      <w:rFonts w:ascii="Calibri" w:hAnsi="Calibri"/>
                      <w:b w:val="0"/>
                      <w:sz w:val="17"/>
                    </w:rPr>
                    <w:t>~$*.docx, *.tmp, *.bak</w:t>
                  </w:r>
                </w:p>
              </w:tc>
              <w:tc>
                <w:tcPr>
                  <w:tcW w:w="3100" w:type="dxa"/>
                </w:tcPr>
                <w:p>
                  <w:pPr>
                    <w:spacing w:before="40" w:after="40" w:line="276" w:lineRule="auto"/>
                    <w:jc w:val="left"/>
                  </w:pPr>
                  <w:r>
                    <w:rPr>
                      <w:rFonts w:ascii="Calibri" w:hAnsi="Calibri"/>
                      <w:b w:val="0"/>
                      <w:sz w:val="17"/>
                    </w:rPr>
                    <w:t>Microsoft Word lock files and scratch buffers</w:t>
                  </w:r>
                </w:p>
              </w:tc>
              <w:tc>
                <w:tcPr>
                  <w:tcW w:w="3000" w:type="dxa"/>
                </w:tcPr>
                <w:p>
                  <w:pPr>
                    <w:spacing w:before="40" w:after="40" w:line="276" w:lineRule="auto"/>
                    <w:jc w:val="left"/>
                  </w:pPr>
                  <w:r>
                    <w:rPr>
                      <w:rFonts w:ascii="Calibri" w:hAnsi="Calibri"/>
                      <w:b w:val="0"/>
                      <w:sz w:val="17"/>
                    </w:rPr>
                    <w:t>Prevents temporary lock files generated during report generation from corrupting commits.</w:t>
                  </w:r>
                </w:p>
              </w:tc>
            </w:tr>
            <w:tr>
              <w:trPr>
                <w:cantSplit/>
              </w:trPr>
              <w:tc>
                <w:tcPr>
                  <w:tcW w:w="1800" w:type="dxa"/>
                </w:tcPr>
                <w:p>
                  <w:pPr>
                    <w:spacing w:before="40" w:after="40" w:line="276" w:lineRule="auto"/>
                    <w:jc w:val="left"/>
                  </w:pPr>
                  <w:r>
                    <w:rPr>
                      <w:rFonts w:ascii="Calibri" w:hAnsi="Calibri"/>
                      <w:b w:val="0"/>
                      <w:sz w:val="17"/>
                    </w:rPr>
                    <w:t>.DS_Store, Thumbs.db</w:t>
                  </w:r>
                </w:p>
              </w:tc>
              <w:tc>
                <w:tcPr>
                  <w:tcW w:w="3100" w:type="dxa"/>
                </w:tcPr>
                <w:p>
                  <w:pPr>
                    <w:spacing w:before="40" w:after="40" w:line="276" w:lineRule="auto"/>
                    <w:jc w:val="left"/>
                  </w:pPr>
                  <w:r>
                    <w:rPr>
                      <w:rFonts w:ascii="Calibri" w:hAnsi="Calibri"/>
                      <w:b w:val="0"/>
                      <w:sz w:val="17"/>
                    </w:rPr>
                    <w:t>macOS and Windows OS desktop cache metadata</w:t>
                  </w:r>
                </w:p>
              </w:tc>
              <w:tc>
                <w:tcPr>
                  <w:tcW w:w="3000" w:type="dxa"/>
                </w:tcPr>
                <w:p>
                  <w:pPr>
                    <w:spacing w:before="40" w:after="40" w:line="276" w:lineRule="auto"/>
                    <w:jc w:val="left"/>
                  </w:pPr>
                  <w:r>
                    <w:rPr>
                      <w:rFonts w:ascii="Calibri" w:hAnsi="Calibri"/>
                      <w:b w:val="0"/>
                      <w:sz w:val="17"/>
                    </w:rPr>
                    <w:t>Ensures zero OS-specific metadata files pollute clean Linux Jenkins build runners.</w:t>
                  </w:r>
                </w:p>
              </w:tc>
            </w:tr>
            <w:tr>
              <w:trPr>
                <w:cantSplit/>
              </w:trPr>
              <w:tc>
                <w:tcPr>
                  <w:tcW w:w="1800" w:type="dxa"/>
                </w:tcPr>
                <w:p>
                  <w:pPr>
                    <w:spacing w:before="40" w:after="40" w:line="276" w:lineRule="auto"/>
                    <w:jc w:val="left"/>
                  </w:pPr>
                  <w:r>
                    <w:rPr>
                      <w:rFonts w:ascii="Calibri" w:hAnsi="Calibri"/>
                      <w:b w:val="0"/>
                      <w:sz w:val="17"/>
                    </w:rPr>
                    <w:t>*.log, logs/</w:t>
                  </w:r>
                </w:p>
              </w:tc>
              <w:tc>
                <w:tcPr>
                  <w:tcW w:w="3100" w:type="dxa"/>
                </w:tcPr>
                <w:p>
                  <w:pPr>
                    <w:spacing w:before="40" w:after="40" w:line="276" w:lineRule="auto"/>
                    <w:jc w:val="left"/>
                  </w:pPr>
                  <w:r>
                    <w:rPr>
                      <w:rFonts w:ascii="Calibri" w:hAnsi="Calibri"/>
                      <w:b w:val="0"/>
                      <w:sz w:val="17"/>
                    </w:rPr>
                    <w:t>Runtime server log output and execution traces</w:t>
                  </w:r>
                </w:p>
              </w:tc>
              <w:tc>
                <w:tcPr>
                  <w:tcW w:w="3000" w:type="dxa"/>
                </w:tcPr>
                <w:p>
                  <w:pPr>
                    <w:spacing w:before="40" w:after="40" w:line="276" w:lineRule="auto"/>
                    <w:jc w:val="left"/>
                  </w:pPr>
                  <w:r>
                    <w:rPr>
                      <w:rFonts w:ascii="Calibri" w:hAnsi="Calibri"/>
                      <w:b w:val="0"/>
                      <w:sz w:val="17"/>
                    </w:rPr>
                    <w:t>Prevents volatile runtime execution logs from entering static version control.</w:t>
                  </w:r>
                </w:p>
              </w:tc>
            </w:tr>
          </w:tbl>
          <w:p/>
          <w:p>
            <w:pPr>
              <w:keepNext/>
              <w:spacing w:before="160" w:after="60" w:line="276" w:lineRule="auto"/>
            </w:pPr>
            <w:r>
              <w:rPr>
                <w:rFonts w:ascii="Calibri" w:hAnsi="Calibri"/>
                <w:b/>
                <w:sz w:val="24"/>
              </w:rPr>
              <w:t>GitHub issue governance and standardized issue templates</w:t>
            </w:r>
          </w:p>
          <w:p>
            <w:pPr>
              <w:spacing w:before="20" w:after="60" w:line="276" w:lineRule="auto"/>
            </w:pPr>
            <w:r>
              <w:rPr>
                <w:rFonts w:ascii="Calibri" w:hAnsi="Calibri"/>
                <w:sz w:val="22"/>
              </w:rPr>
              <w:t>To align SCM with the Agile user stories defined in Task 2, I created standardized GitHub Issue Templates under .github/ISSUE_TEMPLATE/:</w:t>
            </w:r>
          </w:p>
          <w:p>
            <w:pPr>
              <w:spacing w:before="20" w:after="60" w:line="276" w:lineRule="auto"/>
            </w:pPr>
            <w:r>
              <w:rPr>
                <w:rFonts w:ascii="Calibri" w:hAnsi="Calibri"/>
                <w:b/>
                <w:sz w:val="22"/>
              </w:rPr>
              <w:t xml:space="preserve">• </w:t>
            </w:r>
            <w:r>
              <w:rPr>
                <w:rFonts w:ascii="Calibri" w:hAnsi="Calibri"/>
                <w:sz w:val="22"/>
              </w:rPr>
              <w:t>1. Bug Report Template (.github/ISSUE_TEMPLATE/bug_report.md): Captures defect title, description, step-by-step reproduction instructions, expected vs actual behavior, environment details (OS, JDK, Spring Boot version), and labels 'bug, triage'.</w:t>
            </w:r>
          </w:p>
          <w:p>
            <w:pPr>
              <w:spacing w:before="20" w:after="60" w:line="276" w:lineRule="auto"/>
            </w:pPr>
            <w:r>
              <w:rPr>
                <w:rFonts w:ascii="Calibri" w:hAnsi="Calibri"/>
                <w:b/>
                <w:sz w:val="22"/>
              </w:rPr>
              <w:t xml:space="preserve">• </w:t>
            </w:r>
            <w:r>
              <w:rPr>
                <w:rFonts w:ascii="Calibri" w:hAnsi="Calibri"/>
                <w:sz w:val="22"/>
              </w:rPr>
              <w:t>2. Feature Request Template (.github/ISSUE_TEMPLATE/feature_request.md): Captures feature motivation, proposed enhancement, target Epic checkbox (Epic 1 to Epic 5), story point estimation, and labels 'enhancement, planning'.</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Template Name</w:t>
                  </w:r>
                </w:p>
              </w:tc>
              <w:tc>
                <w:tcPr>
                  <w:tcW w:w="1800" w:type="dxa"/>
                  <w:shd w:fill="EAECEE"/>
                </w:tcPr>
                <w:p>
                  <w:pPr>
                    <w:spacing w:before="40" w:after="40" w:line="276" w:lineRule="auto"/>
                    <w:jc w:val="left"/>
                  </w:pPr>
                  <w:r>
                    <w:rPr>
                      <w:rFonts w:ascii="Calibri" w:hAnsi="Calibri"/>
                      <w:b/>
                      <w:sz w:val="19"/>
                    </w:rPr>
                    <w:t>Template File Path</w:t>
                  </w:r>
                </w:p>
              </w:tc>
              <w:tc>
                <w:tcPr>
                  <w:tcW w:w="2600" w:type="dxa"/>
                  <w:shd w:fill="EAECEE"/>
                </w:tcPr>
                <w:p>
                  <w:pPr>
                    <w:spacing w:before="40" w:after="40" w:line="276" w:lineRule="auto"/>
                    <w:jc w:val="left"/>
                  </w:pPr>
                  <w:r>
                    <w:rPr>
                      <w:rFonts w:ascii="Calibri" w:hAnsi="Calibri"/>
                      <w:b/>
                      <w:sz w:val="19"/>
                    </w:rPr>
                    <w:t>Mandatory Input Fields</w:t>
                  </w:r>
                </w:p>
              </w:tc>
              <w:tc>
                <w:tcPr>
                  <w:tcW w:w="2000" w:type="dxa"/>
                  <w:shd w:fill="EAECEE"/>
                </w:tcPr>
                <w:p>
                  <w:pPr>
                    <w:spacing w:before="40" w:after="40" w:line="276" w:lineRule="auto"/>
                    <w:jc w:val="left"/>
                  </w:pPr>
                  <w:r>
                    <w:rPr>
                      <w:rFonts w:ascii="Calibri" w:hAnsi="Calibri"/>
                      <w:b/>
                      <w:sz w:val="19"/>
                    </w:rPr>
                    <w:t>Default GitHub Labels</w:t>
                  </w:r>
                </w:p>
              </w:tc>
            </w:tr>
            <w:tr>
              <w:trPr>
                <w:cantSplit/>
              </w:trPr>
              <w:tc>
                <w:tcPr>
                  <w:tcW w:w="1500" w:type="dxa"/>
                </w:tcPr>
                <w:p>
                  <w:pPr>
                    <w:spacing w:before="40" w:after="40" w:line="276" w:lineRule="auto"/>
                    <w:jc w:val="left"/>
                  </w:pPr>
                  <w:r>
                    <w:rPr>
                      <w:rFonts w:ascii="Calibri" w:hAnsi="Calibri"/>
                      <w:b w:val="0"/>
                      <w:sz w:val="17"/>
                    </w:rPr>
                    <w:t>Bug Report</w:t>
                  </w:r>
                </w:p>
              </w:tc>
              <w:tc>
                <w:tcPr>
                  <w:tcW w:w="1800" w:type="dxa"/>
                </w:tcPr>
                <w:p>
                  <w:pPr>
                    <w:spacing w:before="40" w:after="40" w:line="276" w:lineRule="auto"/>
                    <w:jc w:val="left"/>
                  </w:pPr>
                  <w:r>
                    <w:rPr>
                      <w:rFonts w:ascii="Calibri" w:hAnsi="Calibri"/>
                      <w:b w:val="0"/>
                      <w:sz w:val="17"/>
                    </w:rPr>
                    <w:t>.github/ISSUE_TEMPLATE/bug_report.md</w:t>
                  </w:r>
                </w:p>
              </w:tc>
              <w:tc>
                <w:tcPr>
                  <w:tcW w:w="2600" w:type="dxa"/>
                </w:tcPr>
                <w:p>
                  <w:pPr>
                    <w:spacing w:before="40" w:after="40" w:line="276" w:lineRule="auto"/>
                    <w:jc w:val="left"/>
                  </w:pPr>
                  <w:r>
                    <w:rPr>
                      <w:rFonts w:ascii="Calibri" w:hAnsi="Calibri"/>
                      <w:b w:val="0"/>
                      <w:sz w:val="17"/>
                    </w:rPr>
                    <w:t>Bug description, reproduction steps, expected behavior, OS/JDK version.</w:t>
                  </w:r>
                </w:p>
              </w:tc>
              <w:tc>
                <w:tcPr>
                  <w:tcW w:w="2000" w:type="dxa"/>
                </w:tcPr>
                <w:p>
                  <w:pPr>
                    <w:spacing w:before="40" w:after="40" w:line="276" w:lineRule="auto"/>
                    <w:jc w:val="left"/>
                  </w:pPr>
                  <w:r>
                    <w:rPr>
                      <w:rFonts w:ascii="Calibri" w:hAnsi="Calibri"/>
                      <w:b w:val="0"/>
                      <w:sz w:val="17"/>
                    </w:rPr>
                    <w:t>bug, triage</w:t>
                  </w:r>
                </w:p>
              </w:tc>
            </w:tr>
            <w:tr>
              <w:trPr>
                <w:cantSplit/>
              </w:trPr>
              <w:tc>
                <w:tcPr>
                  <w:tcW w:w="1500" w:type="dxa"/>
                </w:tcPr>
                <w:p>
                  <w:pPr>
                    <w:spacing w:before="40" w:after="40" w:line="276" w:lineRule="auto"/>
                    <w:jc w:val="left"/>
                  </w:pPr>
                  <w:r>
                    <w:rPr>
                      <w:rFonts w:ascii="Calibri" w:hAnsi="Calibri"/>
                      <w:b w:val="0"/>
                      <w:sz w:val="17"/>
                    </w:rPr>
                    <w:t>Feature Request</w:t>
                  </w:r>
                </w:p>
              </w:tc>
              <w:tc>
                <w:tcPr>
                  <w:tcW w:w="1800" w:type="dxa"/>
                </w:tcPr>
                <w:p>
                  <w:pPr>
                    <w:spacing w:before="40" w:after="40" w:line="276" w:lineRule="auto"/>
                    <w:jc w:val="left"/>
                  </w:pPr>
                  <w:r>
                    <w:rPr>
                      <w:rFonts w:ascii="Calibri" w:hAnsi="Calibri"/>
                      <w:b w:val="0"/>
                      <w:sz w:val="17"/>
                    </w:rPr>
                    <w:t>.github/ISSUE_TEMPLATE/feature_request.md</w:t>
                  </w:r>
                </w:p>
              </w:tc>
              <w:tc>
                <w:tcPr>
                  <w:tcW w:w="2600" w:type="dxa"/>
                </w:tcPr>
                <w:p>
                  <w:pPr>
                    <w:spacing w:before="40" w:after="40" w:line="276" w:lineRule="auto"/>
                    <w:jc w:val="left"/>
                  </w:pPr>
                  <w:r>
                    <w:rPr>
                      <w:rFonts w:ascii="Calibri" w:hAnsi="Calibri"/>
                      <w:b w:val="0"/>
                      <w:sz w:val="17"/>
                    </w:rPr>
                    <w:t>Problem statement, requested solution, target Epic checkbox, story points.</w:t>
                  </w:r>
                </w:p>
              </w:tc>
              <w:tc>
                <w:tcPr>
                  <w:tcW w:w="2000" w:type="dxa"/>
                </w:tcPr>
                <w:p>
                  <w:pPr>
                    <w:spacing w:before="40" w:after="40" w:line="276" w:lineRule="auto"/>
                    <w:jc w:val="left"/>
                  </w:pPr>
                  <w:r>
                    <w:rPr>
                      <w:rFonts w:ascii="Calibri" w:hAnsi="Calibri"/>
                      <w:b w:val="0"/>
                      <w:sz w:val="17"/>
                    </w:rPr>
                    <w:t>enhancement, planning</w:t>
                  </w:r>
                </w:p>
              </w:tc>
            </w:tr>
            <w:tr>
              <w:trPr>
                <w:cantSplit/>
              </w:trPr>
              <w:tc>
                <w:tcPr>
                  <w:tcW w:w="1500" w:type="dxa"/>
                </w:tcPr>
                <w:p>
                  <w:pPr>
                    <w:spacing w:before="40" w:after="40" w:line="276" w:lineRule="auto"/>
                    <w:jc w:val="left"/>
                  </w:pPr>
                  <w:r>
                    <w:rPr>
                      <w:rFonts w:ascii="Calibri" w:hAnsi="Calibri"/>
                      <w:b w:val="0"/>
                      <w:sz w:val="17"/>
                    </w:rPr>
                    <w:t>PR Review Checklist</w:t>
                  </w:r>
                </w:p>
              </w:tc>
              <w:tc>
                <w:tcPr>
                  <w:tcW w:w="1800" w:type="dxa"/>
                </w:tcPr>
                <w:p>
                  <w:pPr>
                    <w:spacing w:before="40" w:after="40" w:line="276" w:lineRule="auto"/>
                    <w:jc w:val="left"/>
                  </w:pPr>
                  <w:r>
                    <w:rPr>
                      <w:rFonts w:ascii="Calibri" w:hAnsi="Calibri"/>
                      <w:b w:val="0"/>
                      <w:sz w:val="17"/>
                    </w:rPr>
                    <w:t>.github/pull_request_template.md</w:t>
                  </w:r>
                </w:p>
              </w:tc>
              <w:tc>
                <w:tcPr>
                  <w:tcW w:w="2600" w:type="dxa"/>
                </w:tcPr>
                <w:p>
                  <w:pPr>
                    <w:spacing w:before="40" w:after="40" w:line="276" w:lineRule="auto"/>
                    <w:jc w:val="left"/>
                  </w:pPr>
                  <w:r>
                    <w:rPr>
                      <w:rFonts w:ascii="Calibri" w:hAnsi="Calibri"/>
                      <w:b w:val="0"/>
                      <w:sz w:val="17"/>
                    </w:rPr>
                    <w:t>DoD checklist, linked issue ID, unit test confirmation, screenshot evidence.</w:t>
                  </w:r>
                </w:p>
              </w:tc>
              <w:tc>
                <w:tcPr>
                  <w:tcW w:w="2000" w:type="dxa"/>
                </w:tcPr>
                <w:p>
                  <w:pPr>
                    <w:spacing w:before="40" w:after="40" w:line="276" w:lineRule="auto"/>
                    <w:jc w:val="left"/>
                  </w:pPr>
                  <w:r>
                    <w:rPr>
                      <w:rFonts w:ascii="Calibri" w:hAnsi="Calibri"/>
                      <w:b w:val="0"/>
                      <w:sz w:val="17"/>
                    </w:rPr>
                    <w:t>ready-for-review</w:t>
                  </w:r>
                </w:p>
              </w:tc>
            </w:tr>
            <w:tr>
              <w:trPr>
                <w:cantSplit/>
              </w:trPr>
              <w:tc>
                <w:tcPr>
                  <w:tcW w:w="1500" w:type="dxa"/>
                </w:tcPr>
                <w:p>
                  <w:pPr>
                    <w:spacing w:before="40" w:after="40" w:line="276" w:lineRule="auto"/>
                    <w:jc w:val="left"/>
                  </w:pPr>
                  <w:r>
                    <w:rPr>
                      <w:rFonts w:ascii="Calibri" w:hAnsi="Calibri"/>
                      <w:b w:val="0"/>
                      <w:sz w:val="17"/>
                    </w:rPr>
                    <w:t>Security Policy</w:t>
                  </w:r>
                </w:p>
              </w:tc>
              <w:tc>
                <w:tcPr>
                  <w:tcW w:w="1800" w:type="dxa"/>
                </w:tcPr>
                <w:p>
                  <w:pPr>
                    <w:spacing w:before="40" w:after="40" w:line="276" w:lineRule="auto"/>
                    <w:jc w:val="left"/>
                  </w:pPr>
                  <w:r>
                    <w:rPr>
                      <w:rFonts w:ascii="Calibri" w:hAnsi="Calibri"/>
                      <w:b w:val="0"/>
                      <w:sz w:val="17"/>
                    </w:rPr>
                    <w:t>SECURITY.md</w:t>
                  </w:r>
                </w:p>
              </w:tc>
              <w:tc>
                <w:tcPr>
                  <w:tcW w:w="2600" w:type="dxa"/>
                </w:tcPr>
                <w:p>
                  <w:pPr>
                    <w:spacing w:before="40" w:after="40" w:line="276" w:lineRule="auto"/>
                    <w:jc w:val="left"/>
                  </w:pPr>
                  <w:r>
                    <w:rPr>
                      <w:rFonts w:ascii="Calibri" w:hAnsi="Calibri"/>
                      <w:b w:val="0"/>
                      <w:sz w:val="17"/>
                    </w:rPr>
                    <w:t>Vulnerability reporting guidelines, supported versions, patch SLAs.</w:t>
                  </w:r>
                </w:p>
              </w:tc>
              <w:tc>
                <w:tcPr>
                  <w:tcW w:w="2000" w:type="dxa"/>
                </w:tcPr>
                <w:p>
                  <w:pPr>
                    <w:spacing w:before="40" w:after="40" w:line="276" w:lineRule="auto"/>
                    <w:jc w:val="left"/>
                  </w:pPr>
                  <w:r>
                    <w:rPr>
                      <w:rFonts w:ascii="Calibri" w:hAnsi="Calibri"/>
                      <w:b w:val="0"/>
                      <w:sz w:val="17"/>
                    </w:rPr>
                    <w:t>security</w:t>
                  </w:r>
                </w:p>
              </w:tc>
            </w:tr>
          </w:tbl>
          <w:p/>
          <w:p>
            <w:pPr>
              <w:keepNext/>
              <w:spacing w:before="160" w:after="60" w:line="276" w:lineRule="auto"/>
            </w:pPr>
            <w:r>
              <w:rPr>
                <w:rFonts w:ascii="Calibri" w:hAnsi="Calibri"/>
                <w:b/>
                <w:sz w:val="24"/>
              </w:rPr>
              <w:t>Branch naming policy and Conventional Commits specification</w:t>
            </w:r>
          </w:p>
          <w:p>
            <w:pPr>
              <w:spacing w:before="20" w:after="60" w:line="276" w:lineRule="auto"/>
            </w:pPr>
            <w:r>
              <w:rPr>
                <w:rFonts w:ascii="Calibri" w:hAnsi="Calibri"/>
                <w:sz w:val="22"/>
              </w:rPr>
              <w:t>In accordance with Section 4 of GEMINI.md, the team enforces a strict multi-branch Git workflow. Direct pushes to the production main branch are forbidden; all code integrates through the dev branch via vetted Pull Requests: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200" w:type="dxa"/>
                  <w:shd w:fill="EAECEE"/>
                </w:tcPr>
                <w:p>
                  <w:pPr>
                    <w:spacing w:before="40" w:after="40" w:line="276" w:lineRule="auto"/>
                    <w:jc w:val="left"/>
                  </w:pPr>
                  <w:r>
                    <w:rPr>
                      <w:rFonts w:ascii="Calibri" w:hAnsi="Calibri"/>
                      <w:b/>
                      <w:sz w:val="19"/>
                    </w:rPr>
                    <w:t>Branch Name</w:t>
                  </w:r>
                </w:p>
              </w:tc>
              <w:tc>
                <w:tcPr>
                  <w:tcW w:w="1500" w:type="dxa"/>
                  <w:shd w:fill="EAECEE"/>
                </w:tcPr>
                <w:p>
                  <w:pPr>
                    <w:spacing w:before="40" w:after="40" w:line="276" w:lineRule="auto"/>
                    <w:jc w:val="left"/>
                  </w:pPr>
                  <w:r>
                    <w:rPr>
                      <w:rFonts w:ascii="Calibri" w:hAnsi="Calibri"/>
                      <w:b/>
                      <w:sz w:val="19"/>
                    </w:rPr>
                    <w:t>Branch Type</w:t>
                  </w:r>
                </w:p>
              </w:tc>
              <w:tc>
                <w:tcPr>
                  <w:tcW w:w="2600" w:type="dxa"/>
                  <w:shd w:fill="EAECEE"/>
                </w:tcPr>
                <w:p>
                  <w:pPr>
                    <w:spacing w:before="40" w:after="40" w:line="276" w:lineRule="auto"/>
                    <w:jc w:val="left"/>
                  </w:pPr>
                  <w:r>
                    <w:rPr>
                      <w:rFonts w:ascii="Calibri" w:hAnsi="Calibri"/>
                      <w:b/>
                      <w:sz w:val="19"/>
                    </w:rPr>
                    <w:t>Protection &amp; Merge Policy</w:t>
                  </w:r>
                </w:p>
              </w:tc>
              <w:tc>
                <w:tcPr>
                  <w:tcW w:w="2600" w:type="dxa"/>
                  <w:shd w:fill="EAECEE"/>
                </w:tcPr>
                <w:p>
                  <w:pPr>
                    <w:spacing w:before="40" w:after="40" w:line="276" w:lineRule="auto"/>
                    <w:jc w:val="left"/>
                  </w:pPr>
                  <w:r>
                    <w:rPr>
                      <w:rFonts w:ascii="Calibri" w:hAnsi="Calibri"/>
                      <w:b/>
                      <w:sz w:val="19"/>
                    </w:rPr>
                    <w:t>DevOps Verification Gate</w:t>
                  </w:r>
                </w:p>
              </w:tc>
            </w:tr>
            <w:tr>
              <w:trPr>
                <w:cantSplit/>
              </w:trPr>
              <w:tc>
                <w:tcPr>
                  <w:tcW w:w="1200" w:type="dxa"/>
                </w:tcPr>
                <w:p>
                  <w:pPr>
                    <w:spacing w:before="40" w:after="40" w:line="276" w:lineRule="auto"/>
                    <w:jc w:val="left"/>
                  </w:pPr>
                  <w:r>
                    <w:rPr>
                      <w:rFonts w:ascii="Calibri" w:hAnsi="Calibri"/>
                      <w:b w:val="0"/>
                      <w:sz w:val="17"/>
                    </w:rPr>
                    <w:t>main</w:t>
                  </w:r>
                </w:p>
              </w:tc>
              <w:tc>
                <w:tcPr>
                  <w:tcW w:w="1500" w:type="dxa"/>
                </w:tcPr>
                <w:p>
                  <w:pPr>
                    <w:spacing w:before="40" w:after="40" w:line="276" w:lineRule="auto"/>
                    <w:jc w:val="left"/>
                  </w:pPr>
                  <w:r>
                    <w:rPr>
                      <w:rFonts w:ascii="Calibri" w:hAnsi="Calibri"/>
                      <w:b w:val="0"/>
                      <w:sz w:val="17"/>
                    </w:rPr>
                    <w:t>Production Protected</w:t>
                  </w:r>
                </w:p>
              </w:tc>
              <w:tc>
                <w:tcPr>
                  <w:tcW w:w="2600" w:type="dxa"/>
                </w:tcPr>
                <w:p>
                  <w:pPr>
                    <w:spacing w:before="40" w:after="40" w:line="276" w:lineRule="auto"/>
                    <w:jc w:val="left"/>
                  </w:pPr>
                  <w:r>
                    <w:rPr>
                      <w:rFonts w:ascii="Calibri" w:hAnsi="Calibri"/>
                      <w:b w:val="0"/>
                      <w:sz w:val="17"/>
                    </w:rPr>
                    <w:t>Only production-ready releases; tagged with semver (e.g., v1.0.0); direct pushes blocked.</w:t>
                  </w:r>
                </w:p>
              </w:tc>
              <w:tc>
                <w:tcPr>
                  <w:tcW w:w="2600" w:type="dxa"/>
                </w:tcPr>
                <w:p>
                  <w:pPr>
                    <w:spacing w:before="40" w:after="40" w:line="276" w:lineRule="auto"/>
                    <w:jc w:val="left"/>
                  </w:pPr>
                  <w:r>
                    <w:rPr>
                      <w:rFonts w:ascii="Calibri" w:hAnsi="Calibri"/>
                      <w:b w:val="0"/>
                      <w:sz w:val="17"/>
                    </w:rPr>
                    <w:t>Full Jenkins pipeline green + 100% Selenium tests pass.</w:t>
                  </w:r>
                </w:p>
              </w:tc>
            </w:tr>
            <w:tr>
              <w:trPr>
                <w:cantSplit/>
              </w:trPr>
              <w:tc>
                <w:tcPr>
                  <w:tcW w:w="1200" w:type="dxa"/>
                </w:tcPr>
                <w:p>
                  <w:pPr>
                    <w:spacing w:before="40" w:after="40" w:line="276" w:lineRule="auto"/>
                    <w:jc w:val="left"/>
                  </w:pPr>
                  <w:r>
                    <w:rPr>
                      <w:rFonts w:ascii="Calibri" w:hAnsi="Calibri"/>
                      <w:b w:val="0"/>
                      <w:sz w:val="17"/>
                    </w:rPr>
                    <w:t>dev</w:t>
                  </w:r>
                </w:p>
              </w:tc>
              <w:tc>
                <w:tcPr>
                  <w:tcW w:w="1500" w:type="dxa"/>
                </w:tcPr>
                <w:p>
                  <w:pPr>
                    <w:spacing w:before="40" w:after="40" w:line="276" w:lineRule="auto"/>
                    <w:jc w:val="left"/>
                  </w:pPr>
                  <w:r>
                    <w:rPr>
                      <w:rFonts w:ascii="Calibri" w:hAnsi="Calibri"/>
                      <w:b w:val="0"/>
                      <w:sz w:val="17"/>
                    </w:rPr>
                    <w:t>Active Integration</w:t>
                  </w:r>
                </w:p>
              </w:tc>
              <w:tc>
                <w:tcPr>
                  <w:tcW w:w="2600" w:type="dxa"/>
                </w:tcPr>
                <w:p>
                  <w:pPr>
                    <w:spacing w:before="40" w:after="40" w:line="276" w:lineRule="auto"/>
                    <w:jc w:val="left"/>
                  </w:pPr>
                  <w:r>
                    <w:rPr>
                      <w:rFonts w:ascii="Calibri" w:hAnsi="Calibri"/>
                      <w:b w:val="0"/>
                      <w:sz w:val="17"/>
                    </w:rPr>
                    <w:t>Primary integration baseline for daily development; merges from feature branches via PR.</w:t>
                  </w:r>
                </w:p>
              </w:tc>
              <w:tc>
                <w:tcPr>
                  <w:tcW w:w="2600" w:type="dxa"/>
                </w:tcPr>
                <w:p>
                  <w:pPr>
                    <w:spacing w:before="40" w:after="40" w:line="276" w:lineRule="auto"/>
                    <w:jc w:val="left"/>
                  </w:pPr>
                  <w:r>
                    <w:rPr>
                      <w:rFonts w:ascii="Calibri" w:hAnsi="Calibri"/>
                      <w:b w:val="0"/>
                      <w:sz w:val="17"/>
                    </w:rPr>
                    <w:t>Automated build compilation + Surefire unit tests pass.</w:t>
                  </w:r>
                </w:p>
              </w:tc>
            </w:tr>
            <w:tr>
              <w:trPr>
                <w:cantSplit/>
              </w:trPr>
              <w:tc>
                <w:tcPr>
                  <w:tcW w:w="1200" w:type="dxa"/>
                </w:tcPr>
                <w:p>
                  <w:pPr>
                    <w:spacing w:before="40" w:after="40" w:line="276" w:lineRule="auto"/>
                    <w:jc w:val="left"/>
                  </w:pPr>
                  <w:r>
                    <w:rPr>
                      <w:rFonts w:ascii="Calibri" w:hAnsi="Calibri"/>
                      <w:b w:val="0"/>
                      <w:sz w:val="17"/>
                    </w:rPr>
                    <w:t>feature/*</w:t>
                  </w:r>
                </w:p>
              </w:tc>
              <w:tc>
                <w:tcPr>
                  <w:tcW w:w="1500" w:type="dxa"/>
                </w:tcPr>
                <w:p>
                  <w:pPr>
                    <w:spacing w:before="40" w:after="40" w:line="276" w:lineRule="auto"/>
                    <w:jc w:val="left"/>
                  </w:pPr>
                  <w:r>
                    <w:rPr>
                      <w:rFonts w:ascii="Calibri" w:hAnsi="Calibri"/>
                      <w:b w:val="0"/>
                      <w:sz w:val="17"/>
                    </w:rPr>
                    <w:t>Topic Branches</w:t>
                  </w:r>
                </w:p>
              </w:tc>
              <w:tc>
                <w:tcPr>
                  <w:tcW w:w="2600" w:type="dxa"/>
                </w:tcPr>
                <w:p>
                  <w:pPr>
                    <w:spacing w:before="40" w:after="40" w:line="276" w:lineRule="auto"/>
                    <w:jc w:val="left"/>
                  </w:pPr>
                  <w:r>
                    <w:rPr>
                      <w:rFonts w:ascii="Calibri" w:hAnsi="Calibri"/>
                      <w:b w:val="0"/>
                      <w:sz w:val="17"/>
                    </w:rPr>
                    <w:t>Branched from dev for isolated feature development (e.g., feature/review-ingestion).</w:t>
                  </w:r>
                </w:p>
              </w:tc>
              <w:tc>
                <w:tcPr>
                  <w:tcW w:w="2600" w:type="dxa"/>
                </w:tcPr>
                <w:p>
                  <w:pPr>
                    <w:spacing w:before="40" w:after="40" w:line="276" w:lineRule="auto"/>
                    <w:jc w:val="left"/>
                  </w:pPr>
                  <w:r>
                    <w:rPr>
                      <w:rFonts w:ascii="Calibri" w:hAnsi="Calibri"/>
                      <w:b w:val="0"/>
                      <w:sz w:val="17"/>
                    </w:rPr>
                    <w:t>Local mvn test pass before raising Pull Request.</w:t>
                  </w:r>
                </w:p>
              </w:tc>
            </w:tr>
            <w:tr>
              <w:trPr>
                <w:cantSplit/>
              </w:trPr>
              <w:tc>
                <w:tcPr>
                  <w:tcW w:w="1200" w:type="dxa"/>
                </w:tcPr>
                <w:p>
                  <w:pPr>
                    <w:spacing w:before="40" w:after="40" w:line="276" w:lineRule="auto"/>
                    <w:jc w:val="left"/>
                  </w:pPr>
                  <w:r>
                    <w:rPr>
                      <w:rFonts w:ascii="Calibri" w:hAnsi="Calibri"/>
                      <w:b w:val="0"/>
                      <w:sz w:val="17"/>
                    </w:rPr>
                    <w:t>bugfix/*</w:t>
                  </w:r>
                </w:p>
              </w:tc>
              <w:tc>
                <w:tcPr>
                  <w:tcW w:w="1500" w:type="dxa"/>
                </w:tcPr>
                <w:p>
                  <w:pPr>
                    <w:spacing w:before="40" w:after="40" w:line="276" w:lineRule="auto"/>
                    <w:jc w:val="left"/>
                  </w:pPr>
                  <w:r>
                    <w:rPr>
                      <w:rFonts w:ascii="Calibri" w:hAnsi="Calibri"/>
                      <w:b w:val="0"/>
                      <w:sz w:val="17"/>
                    </w:rPr>
                    <w:t>Patch Branches</w:t>
                  </w:r>
                </w:p>
              </w:tc>
              <w:tc>
                <w:tcPr>
                  <w:tcW w:w="2600" w:type="dxa"/>
                </w:tcPr>
                <w:p>
                  <w:pPr>
                    <w:spacing w:before="40" w:after="40" w:line="276" w:lineRule="auto"/>
                    <w:jc w:val="left"/>
                  </w:pPr>
                  <w:r>
                    <w:rPr>
                      <w:rFonts w:ascii="Calibri" w:hAnsi="Calibri"/>
                      <w:b w:val="0"/>
                      <w:sz w:val="17"/>
                    </w:rPr>
                    <w:t>Targeted bug fixes branching from dev; fast-forward merged upon peer code review.</w:t>
                  </w:r>
                </w:p>
              </w:tc>
              <w:tc>
                <w:tcPr>
                  <w:tcW w:w="2600" w:type="dxa"/>
                </w:tcPr>
                <w:p>
                  <w:pPr>
                    <w:spacing w:before="40" w:after="40" w:line="276" w:lineRule="auto"/>
                    <w:jc w:val="left"/>
                  </w:pPr>
                  <w:r>
                    <w:rPr>
                      <w:rFonts w:ascii="Calibri" w:hAnsi="Calibri"/>
                      <w:b w:val="0"/>
                      <w:sz w:val="17"/>
                    </w:rPr>
                    <w:t>Defect reproduction test converted to passing assertion.</w:t>
                  </w:r>
                </w:p>
              </w:tc>
            </w:tr>
          </w:tbl>
          <w:p/>
          <w:p>
            <w:pPr>
              <w:keepNext/>
              <w:spacing w:before="120" w:after="40"/>
              <w:jc w:val="center"/>
            </w:pPr>
            <w:r>
              <w:drawing>
                <wp:inline xmlns:a="http://schemas.openxmlformats.org/drawingml/2006/main" xmlns:pic="http://schemas.openxmlformats.org/drawingml/2006/picture">
                  <wp:extent cx="4937760" cy="2772076"/>
                  <wp:docPr id="2" name="Picture 2"/>
                  <wp:cNvGraphicFramePr>
                    <a:graphicFrameLocks noChangeAspect="1"/>
                  </wp:cNvGraphicFramePr>
                  <a:graphic>
                    <a:graphicData uri="http://schemas.openxmlformats.org/drawingml/2006/picture">
                      <pic:pic>
                        <pic:nvPicPr>
                          <pic:cNvPr id="0" name="figure_4_1_git_branching_model.png"/>
                          <pic:cNvPicPr/>
                        </pic:nvPicPr>
                        <pic:blipFill>
                          <a:blip r:embed="rId23"/>
                          <a:stretch>
                            <a:fillRect/>
                          </a:stretch>
                        </pic:blipFill>
                        <pic:spPr>
                          <a:xfrm>
                            <a:off x="0" y="0"/>
                            <a:ext cx="4937760" cy="2772076"/>
                          </a:xfrm>
                          <a:prstGeom prst="rect"/>
                        </pic:spPr>
                      </pic:pic>
                    </a:graphicData>
                  </a:graphic>
                </wp:inline>
              </w:drawing>
            </w:r>
          </w:p>
          <w:p>
            <w:pPr>
              <w:keepNext/>
              <w:spacing w:before="40" w:after="160"/>
              <w:jc w:val="center"/>
            </w:pPr>
            <w:r>
              <w:rPr>
                <w:rFonts w:ascii="Calibri" w:hAnsi="Calibri"/>
                <w:b/>
                <w:sz w:val="20"/>
              </w:rPr>
              <w:t>Figure 4.1: Git Branching Strategy &amp; SCM Governance Architecture for Customer Review Moderation Portal</w:t>
            </w:r>
          </w:p>
          <w:p>
            <w:pPr>
              <w:keepNext/>
              <w:spacing w:before="160" w:after="60" w:line="276" w:lineRule="auto"/>
            </w:pPr>
            <w:r>
              <w:rPr>
                <w:rFonts w:ascii="Calibri" w:hAnsi="Calibri"/>
                <w:b/>
                <w:sz w:val="24"/>
              </w:rPr>
              <w:t>Initial application skeleton commits and repository history</w:t>
            </w:r>
          </w:p>
          <w:p>
            <w:pPr>
              <w:spacing w:before="20" w:after="60" w:line="276" w:lineRule="auto"/>
            </w:pPr>
            <w:r>
              <w:rPr>
                <w:rFonts w:ascii="Calibri" w:hAnsi="Calibri"/>
                <w:sz w:val="22"/>
              </w:rPr>
              <w:t>To ensure 100% traceability, all repository commits adhere to the Conventional Commits format (type: description). The repository baseline was established across 4 atomic, structured commits: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000" w:type="dxa"/>
                  <w:shd w:fill="EAECEE"/>
                </w:tcPr>
                <w:p>
                  <w:pPr>
                    <w:spacing w:before="40" w:after="40" w:line="276" w:lineRule="auto"/>
                    <w:jc w:val="left"/>
                  </w:pPr>
                  <w:r>
                    <w:rPr>
                      <w:rFonts w:ascii="Calibri" w:hAnsi="Calibri"/>
                      <w:b/>
                      <w:sz w:val="19"/>
                    </w:rPr>
                    <w:t>Commit Hash</w:t>
                  </w:r>
                </w:p>
              </w:tc>
              <w:tc>
                <w:tcPr>
                  <w:tcW w:w="1500" w:type="dxa"/>
                  <w:shd w:fill="EAECEE"/>
                </w:tcPr>
                <w:p>
                  <w:pPr>
                    <w:spacing w:before="40" w:after="40" w:line="276" w:lineRule="auto"/>
                    <w:jc w:val="left"/>
                  </w:pPr>
                  <w:r>
                    <w:rPr>
                      <w:rFonts w:ascii="Calibri" w:hAnsi="Calibri"/>
                      <w:b/>
                      <w:sz w:val="19"/>
                    </w:rPr>
                    <w:t>Commit Type</w:t>
                  </w:r>
                </w:p>
              </w:tc>
              <w:tc>
                <w:tcPr>
                  <w:tcW w:w="3800" w:type="dxa"/>
                  <w:shd w:fill="EAECEE"/>
                </w:tcPr>
                <w:p>
                  <w:pPr>
                    <w:spacing w:before="40" w:after="40" w:line="276" w:lineRule="auto"/>
                    <w:jc w:val="left"/>
                  </w:pPr>
                  <w:r>
                    <w:rPr>
                      <w:rFonts w:ascii="Calibri" w:hAnsi="Calibri"/>
                      <w:b/>
                      <w:sz w:val="19"/>
                    </w:rPr>
                    <w:t>Conventional Commit Message</w:t>
                  </w:r>
                </w:p>
              </w:tc>
              <w:tc>
                <w:tcPr>
                  <w:tcW w:w="1600" w:type="dxa"/>
                  <w:shd w:fill="EAECEE"/>
                </w:tcPr>
                <w:p>
                  <w:pPr>
                    <w:spacing w:before="40" w:after="40" w:line="276" w:lineRule="auto"/>
                    <w:jc w:val="left"/>
                  </w:pPr>
                  <w:r>
                    <w:rPr>
                      <w:rFonts w:ascii="Calibri" w:hAnsi="Calibri"/>
                      <w:b/>
                      <w:sz w:val="19"/>
                    </w:rPr>
                    <w:t>Modified Area &amp; Files</w:t>
                  </w:r>
                </w:p>
              </w:tc>
            </w:tr>
            <w:tr>
              <w:trPr>
                <w:cantSplit/>
              </w:trPr>
              <w:tc>
                <w:tcPr>
                  <w:tcW w:w="1000" w:type="dxa"/>
                </w:tcPr>
                <w:p>
                  <w:pPr>
                    <w:spacing w:before="40" w:after="40" w:line="276" w:lineRule="auto"/>
                    <w:jc w:val="left"/>
                  </w:pPr>
                  <w:r>
                    <w:rPr>
                      <w:rFonts w:ascii="Calibri" w:hAnsi="Calibri"/>
                      <w:b w:val="0"/>
                      <w:sz w:val="17"/>
                    </w:rPr>
                    <w:t>17e071f</w:t>
                  </w:r>
                </w:p>
              </w:tc>
              <w:tc>
                <w:tcPr>
                  <w:tcW w:w="1500" w:type="dxa"/>
                </w:tcPr>
                <w:p>
                  <w:pPr>
                    <w:spacing w:before="40" w:after="40" w:line="276" w:lineRule="auto"/>
                    <w:jc w:val="left"/>
                  </w:pPr>
                  <w:r>
                    <w:rPr>
                      <w:rFonts w:ascii="Calibri" w:hAnsi="Calibri"/>
                      <w:b w:val="0"/>
                      <w:sz w:val="17"/>
                    </w:rPr>
                    <w:t>docs</w:t>
                  </w:r>
                </w:p>
              </w:tc>
              <w:tc>
                <w:tcPr>
                  <w:tcW w:w="3800" w:type="dxa"/>
                </w:tcPr>
                <w:p>
                  <w:pPr>
                    <w:spacing w:before="40" w:after="40" w:line="276" w:lineRule="auto"/>
                    <w:jc w:val="left"/>
                  </w:pPr>
                  <w:r>
                    <w:rPr>
                      <w:rFonts w:ascii="Calibri" w:hAnsi="Calibri"/>
                      <w:b w:val="0"/>
                      <w:sz w:val="17"/>
                    </w:rPr>
                    <w:t>docs: initialize project governance with README, .gitignore, and issue templates</w:t>
                  </w:r>
                </w:p>
              </w:tc>
              <w:tc>
                <w:tcPr>
                  <w:tcW w:w="1600" w:type="dxa"/>
                </w:tcPr>
                <w:p>
                  <w:pPr>
                    <w:spacing w:before="40" w:after="40" w:line="276" w:lineRule="auto"/>
                    <w:jc w:val="left"/>
                  </w:pPr>
                  <w:r>
                    <w:rPr>
                      <w:rFonts w:ascii="Calibri" w:hAnsi="Calibri"/>
                      <w:b w:val="0"/>
                      <w:sz w:val="17"/>
                    </w:rPr>
                    <w:t>README.md, .gitignore, .github/ templates (16 files).</w:t>
                  </w:r>
                </w:p>
              </w:tc>
            </w:tr>
            <w:tr>
              <w:trPr>
                <w:cantSplit/>
              </w:trPr>
              <w:tc>
                <w:tcPr>
                  <w:tcW w:w="1000" w:type="dxa"/>
                </w:tcPr>
                <w:p>
                  <w:pPr>
                    <w:spacing w:before="40" w:after="40" w:line="276" w:lineRule="auto"/>
                    <w:jc w:val="left"/>
                  </w:pPr>
                  <w:r>
                    <w:rPr>
                      <w:rFonts w:ascii="Calibri" w:hAnsi="Calibri"/>
                      <w:b w:val="0"/>
                      <w:sz w:val="17"/>
                    </w:rPr>
                    <w:t>37c04a4</w:t>
                  </w:r>
                </w:p>
              </w:tc>
              <w:tc>
                <w:tcPr>
                  <w:tcW w:w="1500" w:type="dxa"/>
                </w:tcPr>
                <w:p>
                  <w:pPr>
                    <w:spacing w:before="40" w:after="40" w:line="276" w:lineRule="auto"/>
                    <w:jc w:val="left"/>
                  </w:pPr>
                  <w:r>
                    <w:rPr>
                      <w:rFonts w:ascii="Calibri" w:hAnsi="Calibri"/>
                      <w:b w:val="0"/>
                      <w:sz w:val="17"/>
                    </w:rPr>
                    <w:t>feat</w:t>
                  </w:r>
                </w:p>
              </w:tc>
              <w:tc>
                <w:tcPr>
                  <w:tcW w:w="3800" w:type="dxa"/>
                </w:tcPr>
                <w:p>
                  <w:pPr>
                    <w:spacing w:before="40" w:after="40" w:line="276" w:lineRule="auto"/>
                    <w:jc w:val="left"/>
                  </w:pPr>
                  <w:r>
                    <w:rPr>
                      <w:rFonts w:ascii="Calibri" w:hAnsi="Calibri"/>
                      <w:b w:val="0"/>
                      <w:sz w:val="17"/>
                    </w:rPr>
                    <w:t>feat: implement Spring Boot application skeleton and 4-tier architecture</w:t>
                  </w:r>
                </w:p>
              </w:tc>
              <w:tc>
                <w:tcPr>
                  <w:tcW w:w="1600" w:type="dxa"/>
                </w:tcPr>
                <w:p>
                  <w:pPr>
                    <w:spacing w:before="40" w:after="40" w:line="276" w:lineRule="auto"/>
                    <w:jc w:val="left"/>
                  </w:pPr>
                  <w:r>
                    <w:rPr>
                      <w:rFonts w:ascii="Calibri" w:hAnsi="Calibri"/>
                      <w:b w:val="0"/>
                      <w:sz w:val="17"/>
                    </w:rPr>
                    <w:t>pom.xml, Java models, repo, service, controllers, HTML (12 files).</w:t>
                  </w:r>
                </w:p>
              </w:tc>
            </w:tr>
            <w:tr>
              <w:trPr>
                <w:cantSplit/>
              </w:trPr>
              <w:tc>
                <w:tcPr>
                  <w:tcW w:w="1000" w:type="dxa"/>
                </w:tcPr>
                <w:p>
                  <w:pPr>
                    <w:spacing w:before="40" w:after="40" w:line="276" w:lineRule="auto"/>
                    <w:jc w:val="left"/>
                  </w:pPr>
                  <w:r>
                    <w:rPr>
                      <w:rFonts w:ascii="Calibri" w:hAnsi="Calibri"/>
                      <w:b w:val="0"/>
                      <w:sz w:val="17"/>
                    </w:rPr>
                    <w:t>e202685</w:t>
                  </w:r>
                </w:p>
              </w:tc>
              <w:tc>
                <w:tcPr>
                  <w:tcW w:w="1500" w:type="dxa"/>
                </w:tcPr>
                <w:p>
                  <w:pPr>
                    <w:spacing w:before="40" w:after="40" w:line="276" w:lineRule="auto"/>
                    <w:jc w:val="left"/>
                  </w:pPr>
                  <w:r>
                    <w:rPr>
                      <w:rFonts w:ascii="Calibri" w:hAnsi="Calibri"/>
                      <w:b w:val="0"/>
                      <w:sz w:val="17"/>
                    </w:rPr>
                    <w:t>test</w:t>
                  </w:r>
                </w:p>
              </w:tc>
              <w:tc>
                <w:tcPr>
                  <w:tcW w:w="3800" w:type="dxa"/>
                </w:tcPr>
                <w:p>
                  <w:pPr>
                    <w:spacing w:before="40" w:after="40" w:line="276" w:lineRule="auto"/>
                    <w:jc w:val="left"/>
                  </w:pPr>
                  <w:r>
                    <w:rPr>
                      <w:rFonts w:ascii="Calibri" w:hAnsi="Calibri"/>
                      <w:b w:val="0"/>
                      <w:sz w:val="17"/>
                    </w:rPr>
                    <w:t>test: add automated Spring Boot tests for review moderation and health probe</w:t>
                  </w:r>
                </w:p>
              </w:tc>
              <w:tc>
                <w:tcPr>
                  <w:tcW w:w="1600" w:type="dxa"/>
                </w:tcPr>
                <w:p>
                  <w:pPr>
                    <w:spacing w:before="40" w:after="40" w:line="276" w:lineRule="auto"/>
                    <w:jc w:val="left"/>
                  </w:pPr>
                  <w:r>
                    <w:rPr>
                      <w:rFonts w:ascii="Calibri" w:hAnsi="Calibri"/>
                      <w:b w:val="0"/>
                      <w:sz w:val="17"/>
                    </w:rPr>
                    <w:t>CustomerReviewPortalApplicationTests.java (7 test cases).</w:t>
                  </w:r>
                </w:p>
              </w:tc>
            </w:tr>
            <w:tr>
              <w:trPr>
                <w:cantSplit/>
              </w:trPr>
              <w:tc>
                <w:tcPr>
                  <w:tcW w:w="1000" w:type="dxa"/>
                </w:tcPr>
                <w:p>
                  <w:pPr>
                    <w:spacing w:before="40" w:after="40" w:line="276" w:lineRule="auto"/>
                    <w:jc w:val="left"/>
                  </w:pPr>
                  <w:r>
                    <w:rPr>
                      <w:rFonts w:ascii="Calibri" w:hAnsi="Calibri"/>
                      <w:b w:val="0"/>
                      <w:sz w:val="17"/>
                    </w:rPr>
                    <w:t>b0d2ac9</w:t>
                  </w:r>
                </w:p>
              </w:tc>
              <w:tc>
                <w:tcPr>
                  <w:tcW w:w="1500" w:type="dxa"/>
                </w:tcPr>
                <w:p>
                  <w:pPr>
                    <w:spacing w:before="40" w:after="40" w:line="276" w:lineRule="auto"/>
                    <w:jc w:val="left"/>
                  </w:pPr>
                  <w:r>
                    <w:rPr>
                      <w:rFonts w:ascii="Calibri" w:hAnsi="Calibri"/>
                      <w:b w:val="0"/>
                      <w:sz w:val="17"/>
                    </w:rPr>
                    <w:t>docs</w:t>
                  </w:r>
                </w:p>
              </w:tc>
              <w:tc>
                <w:tcPr>
                  <w:tcW w:w="3800" w:type="dxa"/>
                </w:tcPr>
                <w:p>
                  <w:pPr>
                    <w:spacing w:before="40" w:after="40" w:line="276" w:lineRule="auto"/>
                    <w:jc w:val="left"/>
                  </w:pPr>
                  <w:r>
                    <w:rPr>
                      <w:rFonts w:ascii="Calibri" w:hAnsi="Calibri"/>
                      <w:b w:val="0"/>
                      <w:sz w:val="17"/>
                    </w:rPr>
                    <w:t>docs: add completed laboratory task reports 1 through 3 and evidence</w:t>
                  </w:r>
                </w:p>
              </w:tc>
              <w:tc>
                <w:tcPr>
                  <w:tcW w:w="1600" w:type="dxa"/>
                </w:tcPr>
                <w:p>
                  <w:pPr>
                    <w:spacing w:before="40" w:after="40" w:line="276" w:lineRule="auto"/>
                    <w:jc w:val="left"/>
                  </w:pPr>
                  <w:r>
                    <w:rPr>
                      <w:rFonts w:ascii="Calibri" w:hAnsi="Calibri"/>
                      <w:b w:val="0"/>
                      <w:sz w:val="17"/>
                    </w:rPr>
                    <w:t>Canonical documents and 300 DPI architectural figures.</w:t>
                  </w:r>
                </w:p>
              </w:tc>
            </w:tr>
          </w:tbl>
          <w:p/>
          <w:p>
            <w:pPr>
              <w:keepNext/>
              <w:spacing w:before="160" w:after="60" w:line="276" w:lineRule="auto"/>
            </w:pPr>
            <w:r>
              <w:rPr>
                <w:rFonts w:ascii="Calibri" w:hAnsi="Calibri"/>
                <w:b/>
                <w:sz w:val="24"/>
              </w:rPr>
              <w:t>Live terminal repository verification evidence</w:t>
            </w:r>
          </w:p>
          <w:p>
            <w:pPr>
              <w:spacing w:before="20" w:after="60" w:line="276" w:lineRule="auto"/>
            </w:pPr>
            <w:r>
              <w:rPr>
                <w:rFonts w:ascii="Calibri" w:hAnsi="Calibri"/>
                <w:sz w:val="22"/>
              </w:rPr>
              <w:t>The repository was initialized and pushed live to GitHub at https://github.com/RushikeshGawade01/customer-review-moderation-portal. The browser and terminal captures confirm clean working tree status, remote tracking, dual-branch push to main and dev, and commit log integrity:</w:t>
            </w:r>
          </w:p>
          <w:p>
            <w:pPr>
              <w:keepNext/>
              <w:spacing w:before="120" w:after="40"/>
              <w:jc w:val="center"/>
            </w:pPr>
            <w:r>
              <w:drawing>
                <wp:inline xmlns:a="http://schemas.openxmlformats.org/drawingml/2006/main" xmlns:pic="http://schemas.openxmlformats.org/drawingml/2006/picture">
                  <wp:extent cx="4937760" cy="3163252"/>
                  <wp:docPr id="3" name="Picture 3"/>
                  <wp:cNvGraphicFramePr>
                    <a:graphicFrameLocks noChangeAspect="1"/>
                  </wp:cNvGraphicFramePr>
                  <a:graphic>
                    <a:graphicData uri="http://schemas.openxmlformats.org/drawingml/2006/picture">
                      <pic:pic>
                        <pic:nvPicPr>
                          <pic:cNvPr id="0" name="github_repo_live.png"/>
                          <pic:cNvPicPr/>
                        </pic:nvPicPr>
                        <pic:blipFill>
                          <a:blip r:embed="rId24"/>
                          <a:stretch>
                            <a:fillRect/>
                          </a:stretch>
                        </pic:blipFill>
                        <pic:spPr>
                          <a:xfrm>
                            <a:off x="0" y="0"/>
                            <a:ext cx="4937760" cy="3163252"/>
                          </a:xfrm>
                          <a:prstGeom prst="rect"/>
                        </pic:spPr>
                      </pic:pic>
                    </a:graphicData>
                  </a:graphic>
                </wp:inline>
              </w:drawing>
            </w:r>
          </w:p>
          <w:p>
            <w:pPr>
              <w:keepNext/>
              <w:spacing w:before="40" w:after="160"/>
              <w:jc w:val="center"/>
            </w:pPr>
            <w:r>
              <w:rPr>
                <w:rFonts w:ascii="Calibri" w:hAnsi="Calibri"/>
                <w:b/>
                <w:sz w:val="20"/>
              </w:rPr>
              <w:t>Figure 4.2: Verified Live GitHub Repository (https://github.com/RushikeshGawade01/customer-review-moderation-portal)</w:t>
            </w:r>
          </w:p>
          <w:p>
            <w:pPr>
              <w:keepNext/>
              <w:spacing w:before="120" w:after="40"/>
              <w:jc w:val="center"/>
            </w:pPr>
            <w:r>
              <w:drawing>
                <wp:inline xmlns:a="http://schemas.openxmlformats.org/drawingml/2006/main" xmlns:pic="http://schemas.openxmlformats.org/drawingml/2006/picture">
                  <wp:extent cx="4937760" cy="3291840"/>
                  <wp:docPr id="4" name="Picture 4"/>
                  <wp:cNvGraphicFramePr>
                    <a:graphicFrameLocks noChangeAspect="1"/>
                  </wp:cNvGraphicFramePr>
                  <a:graphic>
                    <a:graphicData uri="http://schemas.openxmlformats.org/drawingml/2006/picture">
                      <pic:pic>
                        <pic:nvPicPr>
                          <pic:cNvPr id="0" name="git_terminal_live.png"/>
                          <pic:cNvPicPr/>
                        </pic:nvPicPr>
                        <pic:blipFill>
                          <a:blip r:embed="rId25"/>
                          <a:stretch>
                            <a:fillRect/>
                          </a:stretch>
                        </pic:blipFill>
                        <pic:spPr>
                          <a:xfrm>
                            <a:off x="0" y="0"/>
                            <a:ext cx="4937760" cy="3291840"/>
                          </a:xfrm>
                          <a:prstGeom prst="rect"/>
                        </pic:spPr>
                      </pic:pic>
                    </a:graphicData>
                  </a:graphic>
                </wp:inline>
              </w:drawing>
            </w:r>
          </w:p>
          <w:p>
            <w:pPr>
              <w:keepNext/>
              <w:spacing w:before="40" w:after="160"/>
              <w:jc w:val="center"/>
            </w:pPr>
            <w:r>
              <w:rPr>
                <w:rFonts w:ascii="Calibri" w:hAnsi="Calibri"/>
                <w:b/>
                <w:sz w:val="20"/>
              </w:rPr>
              <w:t>Figure 4.3: Real PowerShell Session Execution (Git User, Remotes, Push to GitHub, and Commit Log)</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2"/>
              </w:rPr>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have successfully initialized, configured, and baselined the Git and GitHub version control repository for the Customer Review Moderation Portal (CRMP). Operating under strict academic identity standards (Rushikesh Gawade, Roll No: 23102A0052, Dr. Snehal Andhare), I established a professional project governance baseline comprising a detailed README.md, a multi-tiered .gitignore file that insulates the repository from transient build binaries and IDE caches, and standardized GitHub issue templates for bug tracking and feature requests. I formulated a strict multi-branch Git workflow enforcing protected main releases, dev integration, and feature branches governed by Conventional Commits. The initial 4-tier Spring Boot application skeleton and automated test suite were successfully committed across 4 atomic, meaningful commits, and the active dev branch was established and mapped to the remote GitHub origin. This solid SCM foundation ensures complete traceability, reproducibility, and audit readiness for feature branch development and pull request collaboration in Task 5.</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