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7</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Jenkins Installation and Continuous Integration Job: Install and configure Jenkins. Connect the Customer Review Moderation Portal GitHub repository and create a Maven/Gradle/Ant build job triggered by commit or scheduled polling. Archive the build artefact.</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Jenkins v2.580.1 LTS, Git 2.51.windows.1, GitHub Cloud Platform, Oracle JDK 21 LTS, Apache Maven 3.9.x, Spring Boot 3.3.4, VS Code / IntelliJ IDEA, Edge Browser</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Continuous Integration (CI) engineering principles</w:t>
            </w:r>
          </w:p>
          <w:p>
            <w:pPr>
              <w:spacing w:before="20" w:after="60" w:line="276" w:lineRule="auto"/>
            </w:pPr>
            <w:r>
              <w:rPr>
                <w:rFonts w:ascii="Calibri" w:hAnsi="Calibri"/>
                <w:sz w:val="22"/>
              </w:rPr>
              <w:t>Continuous Integration (CI) is the cornerstone practice of modern DevOps engineering. It mandates that developers merge code changes frequently into a central shared repository, where automated build runners and verification suites validate every commit. By continuously verifying integration integrity, software teams eliminate 'integration hell', catch bugs within minutes of injection, and guarantee that the main branch remains constantly deployable.</w:t>
            </w:r>
          </w:p>
          <w:p>
            <w:pPr>
              <w:spacing w:before="20" w:after="60" w:line="276" w:lineRule="auto"/>
            </w:pPr>
            <w:r>
              <w:rPr>
                <w:rFonts w:ascii="Calibri" w:hAnsi="Calibri"/>
                <w:sz w:val="22"/>
              </w:rPr>
              <w:t>The objective of Task 7 is to establish and verify an enterprise Continuous Integration infrastructure using Jenkins for the Customer Review Moderation Portal (CRMP). Operating under the academic evaluation of Dr. Snehal Andhare and the identity of Rushikesh Gawade (Roll No: 23102A0052), I installed and provisioned Jenkins v2.580.1 on Windows, connected it to our live GitHub repository (https://github.com/RushikeshGawade01/customer-review-moderation-portal.git), created an automated Freestyle Maven build job ('CRMP-Maven-CI') triggered by SCM polling ('H/5 * * * *'), executed the automated Surefire test suite (10/10 tests passed), and archived the compiled executable JAR artifact ('customer-review-moderation-portal-1.0.0-SNAPSHOT.jar').</w:t>
            </w:r>
          </w:p>
          <w:p>
            <w:pPr>
              <w:keepNext/>
              <w:spacing w:before="160" w:after="60" w:line="276" w:lineRule="auto"/>
            </w:pPr>
            <w:r>
              <w:rPr>
                <w:rFonts w:ascii="Calibri" w:hAnsi="Calibri"/>
                <w:b/>
                <w:sz w:val="24"/>
              </w:rPr>
              <w:t>Jenkins server installation, runtime environment, and operational topology</w:t>
            </w:r>
          </w:p>
          <w:p>
            <w:pPr>
              <w:spacing w:before="20" w:after="60" w:line="276" w:lineRule="auto"/>
            </w:pPr>
            <w:r>
              <w:rPr>
                <w:rFonts w:ascii="Calibri" w:hAnsi="Calibri"/>
                <w:sz w:val="22"/>
              </w:rPr>
              <w:t>Jenkins was installed and launched as a standalone Java servlet container on port 8085 to avoid port collision with the CRMP web application running on port 8080. The runtime parameters and operational environment settings are documented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Configuration Parameter</w:t>
                  </w:r>
                </w:p>
              </w:tc>
              <w:tc>
                <w:tcPr>
                  <w:tcW w:w="3100" w:type="dxa"/>
                  <w:shd w:fill="EAECEE"/>
                </w:tcPr>
                <w:p>
                  <w:pPr>
                    <w:spacing w:before="40" w:after="40" w:line="276" w:lineRule="auto"/>
                    <w:jc w:val="left"/>
                  </w:pPr>
                  <w:r>
                    <w:rPr>
                      <w:rFonts w:ascii="Calibri" w:hAnsi="Calibri"/>
                      <w:b/>
                      <w:sz w:val="19"/>
                    </w:rPr>
                    <w:t>Active Server Value / Setting</w:t>
                  </w:r>
                </w:p>
              </w:tc>
              <w:tc>
                <w:tcPr>
                  <w:tcW w:w="3000" w:type="dxa"/>
                  <w:shd w:fill="EAECEE"/>
                </w:tcPr>
                <w:p>
                  <w:pPr>
                    <w:spacing w:before="40" w:after="40" w:line="276" w:lineRule="auto"/>
                    <w:jc w:val="left"/>
                  </w:pPr>
                  <w:r>
                    <w:rPr>
                      <w:rFonts w:ascii="Calibri" w:hAnsi="Calibri"/>
                      <w:b/>
                      <w:sz w:val="19"/>
                    </w:rPr>
                    <w:t>DevOps Operational Function</w:t>
                  </w:r>
                </w:p>
              </w:tc>
            </w:tr>
            <w:tr>
              <w:trPr>
                <w:cantSplit/>
              </w:trPr>
              <w:tc>
                <w:tcPr>
                  <w:tcW w:w="1800" w:type="dxa"/>
                </w:tcPr>
                <w:p>
                  <w:pPr>
                    <w:spacing w:before="40" w:after="40" w:line="276" w:lineRule="auto"/>
                    <w:jc w:val="left"/>
                  </w:pPr>
                  <w:r>
                    <w:rPr>
                      <w:rFonts w:ascii="Calibri" w:hAnsi="Calibri"/>
                      <w:b w:val="0"/>
                      <w:sz w:val="17"/>
                    </w:rPr>
                    <w:t>Jenkins Version</w:t>
                  </w:r>
                </w:p>
              </w:tc>
              <w:tc>
                <w:tcPr>
                  <w:tcW w:w="3100" w:type="dxa"/>
                </w:tcPr>
                <w:p>
                  <w:pPr>
                    <w:spacing w:before="40" w:after="40" w:line="276" w:lineRule="auto"/>
                    <w:jc w:val="left"/>
                  </w:pPr>
                  <w:r>
                    <w:rPr>
                      <w:rFonts w:ascii="Calibri" w:hAnsi="Calibri"/>
                      <w:b w:val="0"/>
                      <w:sz w:val="17"/>
                    </w:rPr>
                    <w:t>v2.580.1 LTS (Embedded Jetty 12.1.13)</w:t>
                  </w:r>
                </w:p>
              </w:tc>
              <w:tc>
                <w:tcPr>
                  <w:tcW w:w="3000" w:type="dxa"/>
                </w:tcPr>
                <w:p>
                  <w:pPr>
                    <w:spacing w:before="40" w:after="40" w:line="276" w:lineRule="auto"/>
                    <w:jc w:val="left"/>
                  </w:pPr>
                  <w:r>
                    <w:rPr>
                      <w:rFonts w:ascii="Calibri" w:hAnsi="Calibri"/>
                      <w:b w:val="0"/>
                      <w:sz w:val="17"/>
                    </w:rPr>
                    <w:t>Production LTS core providing reliable pipeline coordination and job scheduling.</w:t>
                  </w:r>
                </w:p>
              </w:tc>
            </w:tr>
            <w:tr>
              <w:trPr>
                <w:cantSplit/>
              </w:trPr>
              <w:tc>
                <w:tcPr>
                  <w:tcW w:w="1800" w:type="dxa"/>
                </w:tcPr>
                <w:p>
                  <w:pPr>
                    <w:spacing w:before="40" w:after="40" w:line="276" w:lineRule="auto"/>
                    <w:jc w:val="left"/>
                  </w:pPr>
                  <w:r>
                    <w:rPr>
                      <w:rFonts w:ascii="Calibri" w:hAnsi="Calibri"/>
                      <w:b w:val="0"/>
                      <w:sz w:val="17"/>
                    </w:rPr>
                    <w:t>HTTP Port Mapping</w:t>
                  </w:r>
                </w:p>
              </w:tc>
              <w:tc>
                <w:tcPr>
                  <w:tcW w:w="3100" w:type="dxa"/>
                </w:tcPr>
                <w:p>
                  <w:pPr>
                    <w:spacing w:before="40" w:after="40" w:line="276" w:lineRule="auto"/>
                    <w:jc w:val="left"/>
                  </w:pPr>
                  <w:r>
                    <w:rPr>
                      <w:rFonts w:ascii="Calibri" w:hAnsi="Calibri"/>
                      <w:b w:val="0"/>
                      <w:sz w:val="17"/>
                    </w:rPr>
                    <w:t>8085 (http://localhost:8085)</w:t>
                  </w:r>
                </w:p>
              </w:tc>
              <w:tc>
                <w:tcPr>
                  <w:tcW w:w="3000" w:type="dxa"/>
                </w:tcPr>
                <w:p>
                  <w:pPr>
                    <w:spacing w:before="40" w:after="40" w:line="276" w:lineRule="auto"/>
                    <w:jc w:val="left"/>
                  </w:pPr>
                  <w:r>
                    <w:rPr>
                      <w:rFonts w:ascii="Calibri" w:hAnsi="Calibri"/>
                      <w:b w:val="0"/>
                      <w:sz w:val="17"/>
                    </w:rPr>
                    <w:t>Isolated port preventing port collisions with CRMP Spring Boot running on host port 8080.</w:t>
                  </w:r>
                </w:p>
              </w:tc>
            </w:tr>
            <w:tr>
              <w:trPr>
                <w:cantSplit/>
              </w:trPr>
              <w:tc>
                <w:tcPr>
                  <w:tcW w:w="1800" w:type="dxa"/>
                </w:tcPr>
                <w:p>
                  <w:pPr>
                    <w:spacing w:before="40" w:after="40" w:line="276" w:lineRule="auto"/>
                    <w:jc w:val="left"/>
                  </w:pPr>
                  <w:r>
                    <w:rPr>
                      <w:rFonts w:ascii="Calibri" w:hAnsi="Calibri"/>
                      <w:b w:val="0"/>
                      <w:sz w:val="17"/>
                    </w:rPr>
                    <w:t>JENKINS_HOME Path</w:t>
                  </w:r>
                </w:p>
              </w:tc>
              <w:tc>
                <w:tcPr>
                  <w:tcW w:w="3100" w:type="dxa"/>
                </w:tcPr>
                <w:p>
                  <w:pPr>
                    <w:spacing w:before="40" w:after="40" w:line="276" w:lineRule="auto"/>
                    <w:jc w:val="left"/>
                  </w:pPr>
                  <w:r>
                    <w:rPr>
                      <w:rFonts w:ascii="Calibri" w:hAnsi="Calibri"/>
                      <w:b w:val="0"/>
                      <w:sz w:val="17"/>
                    </w:rPr>
                    <w:t>D:\jenkins_home</w:t>
                  </w:r>
                </w:p>
              </w:tc>
              <w:tc>
                <w:tcPr>
                  <w:tcW w:w="3000" w:type="dxa"/>
                </w:tcPr>
                <w:p>
                  <w:pPr>
                    <w:spacing w:before="40" w:after="40" w:line="276" w:lineRule="auto"/>
                    <w:jc w:val="left"/>
                  </w:pPr>
                  <w:r>
                    <w:rPr>
                      <w:rFonts w:ascii="Calibri" w:hAnsi="Calibri"/>
                      <w:b w:val="0"/>
                      <w:sz w:val="17"/>
                    </w:rPr>
                    <w:t>Isolated disk storage for job XMLs, build logs, and persistent artifact repositories.</w:t>
                  </w:r>
                </w:p>
              </w:tc>
            </w:tr>
            <w:tr>
              <w:trPr>
                <w:cantSplit/>
              </w:trPr>
              <w:tc>
                <w:tcPr>
                  <w:tcW w:w="1800" w:type="dxa"/>
                </w:tcPr>
                <w:p>
                  <w:pPr>
                    <w:spacing w:before="40" w:after="40" w:line="276" w:lineRule="auto"/>
                    <w:jc w:val="left"/>
                  </w:pPr>
                  <w:r>
                    <w:rPr>
                      <w:rFonts w:ascii="Calibri" w:hAnsi="Calibri"/>
                      <w:b w:val="0"/>
                      <w:sz w:val="17"/>
                    </w:rPr>
                    <w:t>Java Virtual Machine</w:t>
                  </w:r>
                </w:p>
              </w:tc>
              <w:tc>
                <w:tcPr>
                  <w:tcW w:w="3100" w:type="dxa"/>
                </w:tcPr>
                <w:p>
                  <w:pPr>
                    <w:spacing w:before="40" w:after="40" w:line="276" w:lineRule="auto"/>
                    <w:jc w:val="left"/>
                  </w:pPr>
                  <w:r>
                    <w:rPr>
                      <w:rFonts w:ascii="Calibri" w:hAnsi="Calibri"/>
                      <w:b w:val="0"/>
                      <w:sz w:val="17"/>
                    </w:rPr>
                    <w:t>Oracle JDK 21 LTS (64-bit JVM 21.0.2)</w:t>
                  </w:r>
                </w:p>
              </w:tc>
              <w:tc>
                <w:tcPr>
                  <w:tcW w:w="3000" w:type="dxa"/>
                </w:tcPr>
                <w:p>
                  <w:pPr>
                    <w:spacing w:before="40" w:after="40" w:line="276" w:lineRule="auto"/>
                    <w:jc w:val="left"/>
                  </w:pPr>
                  <w:r>
                    <w:rPr>
                      <w:rFonts w:ascii="Calibri" w:hAnsi="Calibri"/>
                      <w:b w:val="0"/>
                      <w:sz w:val="17"/>
                    </w:rPr>
                    <w:t>High-performance enterprise runtime supporting modern virtual threads and language features.</w:t>
                  </w:r>
                </w:p>
              </w:tc>
            </w:tr>
            <w:tr>
              <w:trPr>
                <w:cantSplit/>
              </w:trPr>
              <w:tc>
                <w:tcPr>
                  <w:tcW w:w="1800" w:type="dxa"/>
                </w:tcPr>
                <w:p>
                  <w:pPr>
                    <w:spacing w:before="40" w:after="40" w:line="276" w:lineRule="auto"/>
                    <w:jc w:val="left"/>
                  </w:pPr>
                  <w:r>
                    <w:rPr>
                      <w:rFonts w:ascii="Calibri" w:hAnsi="Calibri"/>
                      <w:b w:val="0"/>
                      <w:sz w:val="17"/>
                    </w:rPr>
                    <w:t>Build Tool Integration</w:t>
                  </w:r>
                </w:p>
              </w:tc>
              <w:tc>
                <w:tcPr>
                  <w:tcW w:w="3100" w:type="dxa"/>
                </w:tcPr>
                <w:p>
                  <w:pPr>
                    <w:spacing w:before="40" w:after="40" w:line="276" w:lineRule="auto"/>
                    <w:jc w:val="left"/>
                  </w:pPr>
                  <w:r>
                    <w:rPr>
                      <w:rFonts w:ascii="Calibri" w:hAnsi="Calibri"/>
                      <w:b w:val="0"/>
                      <w:sz w:val="17"/>
                    </w:rPr>
                    <w:t>Apache Maven 3.9.x / Spring Boot 3.3.4</w:t>
                  </w:r>
                </w:p>
              </w:tc>
              <w:tc>
                <w:tcPr>
                  <w:tcW w:w="3000" w:type="dxa"/>
                </w:tcPr>
                <w:p>
                  <w:pPr>
                    <w:spacing w:before="40" w:after="40" w:line="276" w:lineRule="auto"/>
                    <w:jc w:val="left"/>
                  </w:pPr>
                  <w:r>
                    <w:rPr>
                      <w:rFonts w:ascii="Calibri" w:hAnsi="Calibri"/>
                      <w:b w:val="0"/>
                      <w:sz w:val="17"/>
                    </w:rPr>
                    <w:t>Standardized Maven build lifecycle executing compile, test, package, and archive goals.</w:t>
                  </w:r>
                </w:p>
              </w:tc>
            </w:tr>
          </w:tbl>
          <w:p/>
          <w:p>
            <w:pPr>
              <w:keepNext/>
              <w:spacing w:before="160" w:after="60" w:line="276" w:lineRule="auto"/>
            </w:pPr>
            <w:r>
              <w:rPr>
                <w:rFonts w:ascii="Calibri" w:hAnsi="Calibri"/>
                <w:b/>
                <w:sz w:val="24"/>
              </w:rPr>
              <w:t>Freestyle CI job ('CRMP-Maven-CI') specification and workflow steps</w:t>
            </w:r>
          </w:p>
          <w:p>
            <w:pPr>
              <w:spacing w:before="20" w:after="60" w:line="276" w:lineRule="auto"/>
            </w:pPr>
            <w:r>
              <w:rPr>
                <w:rFonts w:ascii="Calibri" w:hAnsi="Calibri"/>
                <w:sz w:val="22"/>
              </w:rPr>
              <w:t>The continuous integration job was architected as a dedicated Freestyle project named 'CRMP-Maven-CI'. The job defines an automated multi-step build sequence linking the GitHub remote repository to local Maven compilation and test execution: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600" w:type="dxa"/>
                  <w:shd w:fill="EAECEE"/>
                </w:tcPr>
                <w:p>
                  <w:pPr>
                    <w:spacing w:before="40" w:after="40" w:line="276" w:lineRule="auto"/>
                    <w:jc w:val="left"/>
                  </w:pPr>
                  <w:r>
                    <w:rPr>
                      <w:rFonts w:ascii="Calibri" w:hAnsi="Calibri"/>
                      <w:b/>
                      <w:sz w:val="19"/>
                    </w:rPr>
                    <w:t>Pipeline Step</w:t>
                  </w:r>
                </w:p>
              </w:tc>
              <w:tc>
                <w:tcPr>
                  <w:tcW w:w="2400" w:type="dxa"/>
                  <w:shd w:fill="EAECEE"/>
                </w:tcPr>
                <w:p>
                  <w:pPr>
                    <w:spacing w:before="40" w:after="40" w:line="276" w:lineRule="auto"/>
                    <w:jc w:val="left"/>
                  </w:pPr>
                  <w:r>
                    <w:rPr>
                      <w:rFonts w:ascii="Calibri" w:hAnsi="Calibri"/>
                      <w:b/>
                      <w:sz w:val="19"/>
                    </w:rPr>
                    <w:t>Execution Target</w:t>
                  </w:r>
                </w:p>
              </w:tc>
              <w:tc>
                <w:tcPr>
                  <w:tcW w:w="2400" w:type="dxa"/>
                  <w:shd w:fill="EAECEE"/>
                </w:tcPr>
                <w:p>
                  <w:pPr>
                    <w:spacing w:before="40" w:after="40" w:line="276" w:lineRule="auto"/>
                    <w:jc w:val="left"/>
                  </w:pPr>
                  <w:r>
                    <w:rPr>
                      <w:rFonts w:ascii="Calibri" w:hAnsi="Calibri"/>
                      <w:b/>
                      <w:sz w:val="19"/>
                    </w:rPr>
                    <w:t>Command / Configuration</w:t>
                  </w:r>
                </w:p>
              </w:tc>
              <w:tc>
                <w:tcPr>
                  <w:tcW w:w="1500" w:type="dxa"/>
                  <w:shd w:fill="EAECEE"/>
                </w:tcPr>
                <w:p>
                  <w:pPr>
                    <w:spacing w:before="40" w:after="40" w:line="276" w:lineRule="auto"/>
                    <w:jc w:val="left"/>
                  </w:pPr>
                  <w:r>
                    <w:rPr>
                      <w:rFonts w:ascii="Calibri" w:hAnsi="Calibri"/>
                      <w:b/>
                      <w:sz w:val="19"/>
                    </w:rPr>
                    <w:t>DevOps Verification Role</w:t>
                  </w:r>
                </w:p>
              </w:tc>
            </w:tr>
            <w:tr>
              <w:trPr>
                <w:cantSplit/>
              </w:trPr>
              <w:tc>
                <w:tcPr>
                  <w:tcW w:w="1600" w:type="dxa"/>
                </w:tcPr>
                <w:p>
                  <w:pPr>
                    <w:spacing w:before="40" w:after="40" w:line="276" w:lineRule="auto"/>
                    <w:jc w:val="left"/>
                  </w:pPr>
                  <w:r>
                    <w:rPr>
                      <w:rFonts w:ascii="Calibri" w:hAnsi="Calibri"/>
                      <w:b w:val="0"/>
                      <w:sz w:val="17"/>
                    </w:rPr>
                    <w:t>1. SCM Sync</w:t>
                  </w:r>
                </w:p>
              </w:tc>
              <w:tc>
                <w:tcPr>
                  <w:tcW w:w="2400" w:type="dxa"/>
                </w:tcPr>
                <w:p>
                  <w:pPr>
                    <w:spacing w:before="40" w:after="40" w:line="276" w:lineRule="auto"/>
                    <w:jc w:val="left"/>
                  </w:pPr>
                  <w:r>
                    <w:rPr>
                      <w:rFonts w:ascii="Calibri" w:hAnsi="Calibri"/>
                      <w:b w:val="0"/>
                      <w:sz w:val="17"/>
                    </w:rPr>
                    <w:t>GitHub Remote Repo</w:t>
                  </w:r>
                </w:p>
              </w:tc>
              <w:tc>
                <w:tcPr>
                  <w:tcW w:w="2400" w:type="dxa"/>
                </w:tcPr>
                <w:p>
                  <w:pPr>
                    <w:spacing w:before="40" w:after="40" w:line="276" w:lineRule="auto"/>
                    <w:jc w:val="left"/>
                  </w:pPr>
                  <w:r>
                    <w:rPr>
                      <w:rFonts w:ascii="Calibri" w:hAnsi="Calibri"/>
                      <w:b w:val="0"/>
                      <w:sz w:val="17"/>
                    </w:rPr>
                    <w:t>git clone -b dev https://github.com/RushikeshGawade01/...</w:t>
                  </w:r>
                </w:p>
              </w:tc>
              <w:tc>
                <w:tcPr>
                  <w:tcW w:w="1500" w:type="dxa"/>
                </w:tcPr>
                <w:p>
                  <w:pPr>
                    <w:spacing w:before="40" w:after="40" w:line="276" w:lineRule="auto"/>
                    <w:jc w:val="left"/>
                  </w:pPr>
                  <w:r>
                    <w:rPr>
                      <w:rFonts w:ascii="Calibri" w:hAnsi="Calibri"/>
                      <w:b w:val="0"/>
                      <w:sz w:val="17"/>
                    </w:rPr>
                    <w:t>Clones freshest commit on dev integration branch into clean workspace.</w:t>
                  </w:r>
                </w:p>
              </w:tc>
            </w:tr>
            <w:tr>
              <w:trPr>
                <w:cantSplit/>
              </w:trPr>
              <w:tc>
                <w:tcPr>
                  <w:tcW w:w="1600" w:type="dxa"/>
                </w:tcPr>
                <w:p>
                  <w:pPr>
                    <w:spacing w:before="40" w:after="40" w:line="276" w:lineRule="auto"/>
                    <w:jc w:val="left"/>
                  </w:pPr>
                  <w:r>
                    <w:rPr>
                      <w:rFonts w:ascii="Calibri" w:hAnsi="Calibri"/>
                      <w:b w:val="0"/>
                      <w:sz w:val="17"/>
                    </w:rPr>
                    <w:t>2. Working Tree Audit</w:t>
                  </w:r>
                </w:p>
              </w:tc>
              <w:tc>
                <w:tcPr>
                  <w:tcW w:w="2400" w:type="dxa"/>
                </w:tcPr>
                <w:p>
                  <w:pPr>
                    <w:spacing w:before="40" w:after="40" w:line="276" w:lineRule="auto"/>
                    <w:jc w:val="left"/>
                  </w:pPr>
                  <w:r>
                    <w:rPr>
                      <w:rFonts w:ascii="Calibri" w:hAnsi="Calibri"/>
                      <w:b w:val="0"/>
                      <w:sz w:val="17"/>
                    </w:rPr>
                    <w:t>Git Log Inspector</w:t>
                  </w:r>
                </w:p>
              </w:tc>
              <w:tc>
                <w:tcPr>
                  <w:tcW w:w="2400" w:type="dxa"/>
                </w:tcPr>
                <w:p>
                  <w:pPr>
                    <w:spacing w:before="40" w:after="40" w:line="276" w:lineRule="auto"/>
                    <w:jc w:val="left"/>
                  </w:pPr>
                  <w:r>
                    <w:rPr>
                      <w:rFonts w:ascii="Calibri" w:hAnsi="Calibri"/>
                      <w:b w:val="0"/>
                      <w:sz w:val="17"/>
                    </w:rPr>
                    <w:t>git log -1 --oneline --decorate</w:t>
                  </w:r>
                </w:p>
              </w:tc>
              <w:tc>
                <w:tcPr>
                  <w:tcW w:w="1500" w:type="dxa"/>
                </w:tcPr>
                <w:p>
                  <w:pPr>
                    <w:spacing w:before="40" w:after="40" w:line="276" w:lineRule="auto"/>
                    <w:jc w:val="left"/>
                  </w:pPr>
                  <w:r>
                    <w:rPr>
                      <w:rFonts w:ascii="Calibri" w:hAnsi="Calibri"/>
                      <w:b w:val="0"/>
                      <w:sz w:val="17"/>
                    </w:rPr>
                    <w:t>Asserts exact commit SHA (14be78f) and conventional commit message.</w:t>
                  </w:r>
                </w:p>
              </w:tc>
            </w:tr>
            <w:tr>
              <w:trPr>
                <w:cantSplit/>
              </w:trPr>
              <w:tc>
                <w:tcPr>
                  <w:tcW w:w="1600" w:type="dxa"/>
                </w:tcPr>
                <w:p>
                  <w:pPr>
                    <w:spacing w:before="40" w:after="40" w:line="276" w:lineRule="auto"/>
                    <w:jc w:val="left"/>
                  </w:pPr>
                  <w:r>
                    <w:rPr>
                      <w:rFonts w:ascii="Calibri" w:hAnsi="Calibri"/>
                      <w:b w:val="0"/>
                      <w:sz w:val="17"/>
                    </w:rPr>
                    <w:t>3. Quality Gate</w:t>
                  </w:r>
                </w:p>
              </w:tc>
              <w:tc>
                <w:tcPr>
                  <w:tcW w:w="2400" w:type="dxa"/>
                </w:tcPr>
                <w:p>
                  <w:pPr>
                    <w:spacing w:before="40" w:after="40" w:line="276" w:lineRule="auto"/>
                    <w:jc w:val="left"/>
                  </w:pPr>
                  <w:r>
                    <w:rPr>
                      <w:rFonts w:ascii="Calibri" w:hAnsi="Calibri"/>
                      <w:b w:val="0"/>
                      <w:sz w:val="17"/>
                    </w:rPr>
                    <w:t>Maven Surefire Test Runner</w:t>
                  </w:r>
                </w:p>
              </w:tc>
              <w:tc>
                <w:tcPr>
                  <w:tcW w:w="2400" w:type="dxa"/>
                </w:tcPr>
                <w:p>
                  <w:pPr>
                    <w:spacing w:before="40" w:after="40" w:line="276" w:lineRule="auto"/>
                    <w:jc w:val="left"/>
                  </w:pPr>
                  <w:r>
                    <w:rPr>
                      <w:rFonts w:ascii="Calibri" w:hAnsi="Calibri"/>
                      <w:b w:val="0"/>
                      <w:sz w:val="17"/>
                    </w:rPr>
                    <w:t>mvn clean test</w:t>
                  </w:r>
                </w:p>
              </w:tc>
              <w:tc>
                <w:tcPr>
                  <w:tcW w:w="1500" w:type="dxa"/>
                </w:tcPr>
                <w:p>
                  <w:pPr>
                    <w:spacing w:before="40" w:after="40" w:line="276" w:lineRule="auto"/>
                    <w:jc w:val="left"/>
                  </w:pPr>
                  <w:r>
                    <w:rPr>
                      <w:rFonts w:ascii="Calibri" w:hAnsi="Calibri"/>
                      <w:b w:val="0"/>
                      <w:sz w:val="17"/>
                    </w:rPr>
                    <w:t>Executes unit &amp; integration test suites; halts build immediately on defect.</w:t>
                  </w:r>
                </w:p>
              </w:tc>
            </w:tr>
            <w:tr>
              <w:trPr>
                <w:cantSplit/>
              </w:trPr>
              <w:tc>
                <w:tcPr>
                  <w:tcW w:w="1600" w:type="dxa"/>
                </w:tcPr>
                <w:p>
                  <w:pPr>
                    <w:spacing w:before="40" w:after="40" w:line="276" w:lineRule="auto"/>
                    <w:jc w:val="left"/>
                  </w:pPr>
                  <w:r>
                    <w:rPr>
                      <w:rFonts w:ascii="Calibri" w:hAnsi="Calibri"/>
                      <w:b w:val="0"/>
                      <w:sz w:val="17"/>
                    </w:rPr>
                    <w:t>4. Artifact Packaging</w:t>
                  </w:r>
                </w:p>
              </w:tc>
              <w:tc>
                <w:tcPr>
                  <w:tcW w:w="2400" w:type="dxa"/>
                </w:tcPr>
                <w:p>
                  <w:pPr>
                    <w:spacing w:before="40" w:after="40" w:line="276" w:lineRule="auto"/>
                    <w:jc w:val="left"/>
                  </w:pPr>
                  <w:r>
                    <w:rPr>
                      <w:rFonts w:ascii="Calibri" w:hAnsi="Calibri"/>
                      <w:b w:val="0"/>
                      <w:sz w:val="17"/>
                    </w:rPr>
                    <w:t>Spring Boot Maven Plugin</w:t>
                  </w:r>
                </w:p>
              </w:tc>
              <w:tc>
                <w:tcPr>
                  <w:tcW w:w="2400" w:type="dxa"/>
                </w:tcPr>
                <w:p>
                  <w:pPr>
                    <w:spacing w:before="40" w:after="40" w:line="276" w:lineRule="auto"/>
                    <w:jc w:val="left"/>
                  </w:pPr>
                  <w:r>
                    <w:rPr>
                      <w:rFonts w:ascii="Calibri" w:hAnsi="Calibri"/>
                      <w:b w:val="0"/>
                      <w:sz w:val="17"/>
                    </w:rPr>
                    <w:t>mvn package -DskipTests=false</w:t>
                  </w:r>
                </w:p>
              </w:tc>
              <w:tc>
                <w:tcPr>
                  <w:tcW w:w="1500" w:type="dxa"/>
                </w:tcPr>
                <w:p>
                  <w:pPr>
                    <w:spacing w:before="40" w:after="40" w:line="276" w:lineRule="auto"/>
                    <w:jc w:val="left"/>
                  </w:pPr>
                  <w:r>
                    <w:rPr>
                      <w:rFonts w:ascii="Calibri" w:hAnsi="Calibri"/>
                      <w:b w:val="0"/>
                      <w:sz w:val="17"/>
                    </w:rPr>
                    <w:t>Compiles source classes and packages self-contained executable JAR archive.</w:t>
                  </w:r>
                </w:p>
              </w:tc>
            </w:tr>
            <w:tr>
              <w:trPr>
                <w:cantSplit/>
              </w:trPr>
              <w:tc>
                <w:tcPr>
                  <w:tcW w:w="1600" w:type="dxa"/>
                </w:tcPr>
                <w:p>
                  <w:pPr>
                    <w:spacing w:before="40" w:after="40" w:line="276" w:lineRule="auto"/>
                    <w:jc w:val="left"/>
                  </w:pPr>
                  <w:r>
                    <w:rPr>
                      <w:rFonts w:ascii="Calibri" w:hAnsi="Calibri"/>
                      <w:b w:val="0"/>
                      <w:sz w:val="17"/>
                    </w:rPr>
                    <w:t>5. Post-Build Action</w:t>
                  </w:r>
                </w:p>
              </w:tc>
              <w:tc>
                <w:tcPr>
                  <w:tcW w:w="2400" w:type="dxa"/>
                </w:tcPr>
                <w:p>
                  <w:pPr>
                    <w:spacing w:before="40" w:after="40" w:line="276" w:lineRule="auto"/>
                    <w:jc w:val="left"/>
                  </w:pPr>
                  <w:r>
                    <w:rPr>
                      <w:rFonts w:ascii="Calibri" w:hAnsi="Calibri"/>
                      <w:b w:val="0"/>
                      <w:sz w:val="17"/>
                    </w:rPr>
                    <w:t>Jenkins Artifact Archiver</w:t>
                  </w:r>
                </w:p>
              </w:tc>
              <w:tc>
                <w:tcPr>
                  <w:tcW w:w="2400" w:type="dxa"/>
                </w:tcPr>
                <w:p>
                  <w:pPr>
                    <w:spacing w:before="40" w:after="40" w:line="276" w:lineRule="auto"/>
                    <w:jc w:val="left"/>
                  </w:pPr>
                  <w:r>
                    <w:rPr>
                      <w:rFonts w:ascii="Calibri" w:hAnsi="Calibri"/>
                      <w:b w:val="0"/>
                      <w:sz w:val="17"/>
                    </w:rPr>
                    <w:t>target/*.jar</w:t>
                  </w:r>
                </w:p>
              </w:tc>
              <w:tc>
                <w:tcPr>
                  <w:tcW w:w="1500" w:type="dxa"/>
                </w:tcPr>
                <w:p>
                  <w:pPr>
                    <w:spacing w:before="40" w:after="40" w:line="276" w:lineRule="auto"/>
                    <w:jc w:val="left"/>
                  </w:pPr>
                  <w:r>
                    <w:rPr>
                      <w:rFonts w:ascii="Calibri" w:hAnsi="Calibri"/>
                      <w:b w:val="0"/>
                      <w:sz w:val="17"/>
                    </w:rPr>
                    <w:t>Copies and fingerprints binary artifact into immutable Jenkins build archive.</w:t>
                  </w:r>
                </w:p>
              </w:tc>
            </w:tr>
          </w:tbl>
          <w:p/>
          <w:p>
            <w:pPr>
              <w:keepNext/>
              <w:spacing w:before="160" w:after="60" w:line="276" w:lineRule="auto"/>
            </w:pPr>
            <w:r>
              <w:rPr>
                <w:rFonts w:ascii="Calibri" w:hAnsi="Calibri"/>
                <w:b/>
                <w:sz w:val="24"/>
              </w:rPr>
              <w:t>Automated build trigger mechanism and SCM polling policy ('H/5 * * * *')</w:t>
            </w:r>
          </w:p>
          <w:p>
            <w:pPr>
              <w:spacing w:before="20" w:after="60" w:line="276" w:lineRule="auto"/>
            </w:pPr>
            <w:r>
              <w:rPr>
                <w:rFonts w:ascii="Calibri" w:hAnsi="Calibri"/>
                <w:sz w:val="22"/>
              </w:rPr>
              <w:t>To eliminate manual human triggers and ensure that every code push is tested promptly, the job was configured with an automated SCM Polling schedule:</w:t>
            </w:r>
          </w:p>
          <w:p>
            <w:pPr>
              <w:spacing w:before="20" w:after="60" w:line="276" w:lineRule="auto"/>
            </w:pPr>
            <w:r>
              <w:rPr>
                <w:rFonts w:ascii="Calibri" w:hAnsi="Calibri"/>
                <w:b/>
                <w:sz w:val="22"/>
              </w:rPr>
              <w:t xml:space="preserve">• </w:t>
            </w:r>
            <w:r>
              <w:rPr>
                <w:rFonts w:ascii="Calibri" w:hAnsi="Calibri"/>
                <w:sz w:val="22"/>
              </w:rPr>
              <w:t>1. SCM Cron Specification: 'H/5 * * * *' instructs Jenkins to poll the GitHub repository every 5 minutes. The 'H' (Hash) symbol introduces randomized load balancing across Jenkins workers, avoiding simultaneous polling spikes on the GitHub API.</w:t>
            </w:r>
          </w:p>
          <w:p>
            <w:pPr>
              <w:spacing w:before="20" w:after="60" w:line="276" w:lineRule="auto"/>
            </w:pPr>
            <w:r>
              <w:rPr>
                <w:rFonts w:ascii="Calibri" w:hAnsi="Calibri"/>
                <w:b/>
                <w:sz w:val="22"/>
              </w:rPr>
              <w:t xml:space="preserve">• </w:t>
            </w:r>
            <w:r>
              <w:rPr>
                <w:rFonts w:ascii="Calibri" w:hAnsi="Calibri"/>
                <w:sz w:val="22"/>
              </w:rPr>
              <w:t>2. Comparison with Webhooks: While GitHub Webhooks provide push-based instantaneous triggers, SCM polling operates reliably across air-gapped university intranets, firewalls, and local development environments without requiring public reverse tunnels (e.g., ngrok).</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Trigger Strategy</w:t>
                  </w:r>
                </w:p>
              </w:tc>
              <w:tc>
                <w:tcPr>
                  <w:tcW w:w="2200" w:type="dxa"/>
                  <w:shd w:fill="EAECEE"/>
                </w:tcPr>
                <w:p>
                  <w:pPr>
                    <w:spacing w:before="40" w:after="40" w:line="276" w:lineRule="auto"/>
                    <w:jc w:val="left"/>
                  </w:pPr>
                  <w:r>
                    <w:rPr>
                      <w:rFonts w:ascii="Calibri" w:hAnsi="Calibri"/>
                      <w:b/>
                      <w:sz w:val="19"/>
                    </w:rPr>
                    <w:t>Operational Mechanism</w:t>
                  </w:r>
                </w:p>
              </w:tc>
              <w:tc>
                <w:tcPr>
                  <w:tcW w:w="2200" w:type="dxa"/>
                  <w:shd w:fill="EAECEE"/>
                </w:tcPr>
                <w:p>
                  <w:pPr>
                    <w:spacing w:before="40" w:after="40" w:line="276" w:lineRule="auto"/>
                    <w:jc w:val="left"/>
                  </w:pPr>
                  <w:r>
                    <w:rPr>
                      <w:rFonts w:ascii="Calibri" w:hAnsi="Calibri"/>
                      <w:b/>
                      <w:sz w:val="19"/>
                    </w:rPr>
                    <w:t>Network &amp; Security Requirements</w:t>
                  </w:r>
                </w:p>
              </w:tc>
              <w:tc>
                <w:tcPr>
                  <w:tcW w:w="2000" w:type="dxa"/>
                  <w:shd w:fill="EAECEE"/>
                </w:tcPr>
                <w:p>
                  <w:pPr>
                    <w:spacing w:before="40" w:after="40" w:line="276" w:lineRule="auto"/>
                    <w:jc w:val="left"/>
                  </w:pPr>
                  <w:r>
                    <w:rPr>
                      <w:rFonts w:ascii="Calibri" w:hAnsi="Calibri"/>
                      <w:b/>
                      <w:sz w:val="19"/>
                    </w:rPr>
                    <w:t>University Lab Fit</w:t>
                  </w:r>
                </w:p>
              </w:tc>
            </w:tr>
            <w:tr>
              <w:trPr>
                <w:cantSplit/>
              </w:trPr>
              <w:tc>
                <w:tcPr>
                  <w:tcW w:w="1500" w:type="dxa"/>
                </w:tcPr>
                <w:p>
                  <w:pPr>
                    <w:spacing w:before="40" w:after="40" w:line="276" w:lineRule="auto"/>
                    <w:jc w:val="left"/>
                  </w:pPr>
                  <w:r>
                    <w:rPr>
                      <w:rFonts w:ascii="Calibri" w:hAnsi="Calibri"/>
                      <w:b w:val="0"/>
                      <w:sz w:val="17"/>
                    </w:rPr>
                    <w:t>SCM Polling (H/5 * * * *)</w:t>
                  </w:r>
                </w:p>
              </w:tc>
              <w:tc>
                <w:tcPr>
                  <w:tcW w:w="2200" w:type="dxa"/>
                </w:tcPr>
                <w:p>
                  <w:pPr>
                    <w:spacing w:before="40" w:after="40" w:line="276" w:lineRule="auto"/>
                    <w:jc w:val="left"/>
                  </w:pPr>
                  <w:r>
                    <w:rPr>
                      <w:rFonts w:ascii="Calibri" w:hAnsi="Calibri"/>
                      <w:b w:val="0"/>
                      <w:sz w:val="17"/>
                    </w:rPr>
                    <w:t>Jenkins periodically queries remote Git repository for new commit hashes.</w:t>
                  </w:r>
                </w:p>
              </w:tc>
              <w:tc>
                <w:tcPr>
                  <w:tcW w:w="2200" w:type="dxa"/>
                </w:tcPr>
                <w:p>
                  <w:pPr>
                    <w:spacing w:before="40" w:after="40" w:line="276" w:lineRule="auto"/>
                    <w:jc w:val="left"/>
                  </w:pPr>
                  <w:r>
                    <w:rPr>
                      <w:rFonts w:ascii="Calibri" w:hAnsi="Calibri"/>
                      <w:b w:val="0"/>
                      <w:sz w:val="17"/>
                    </w:rPr>
                    <w:t>Zero inbound firewall holes; functions seamlessly inside NATs and campus Wi-Fi.</w:t>
                  </w:r>
                </w:p>
              </w:tc>
              <w:tc>
                <w:tcPr>
                  <w:tcW w:w="2000" w:type="dxa"/>
                </w:tcPr>
                <w:p>
                  <w:pPr>
                    <w:spacing w:before="40" w:after="40" w:line="276" w:lineRule="auto"/>
                    <w:jc w:val="left"/>
                  </w:pPr>
                  <w:r>
                    <w:rPr>
                      <w:rFonts w:ascii="Calibri" w:hAnsi="Calibri"/>
                      <w:b w:val="0"/>
                      <w:sz w:val="17"/>
                    </w:rPr>
                    <w:t>Optimal for University Labs &amp; Private Workstations.</w:t>
                  </w:r>
                </w:p>
              </w:tc>
            </w:tr>
            <w:tr>
              <w:trPr>
                <w:cantSplit/>
              </w:trPr>
              <w:tc>
                <w:tcPr>
                  <w:tcW w:w="1500" w:type="dxa"/>
                </w:tcPr>
                <w:p>
                  <w:pPr>
                    <w:spacing w:before="40" w:after="40" w:line="276" w:lineRule="auto"/>
                    <w:jc w:val="left"/>
                  </w:pPr>
                  <w:r>
                    <w:rPr>
                      <w:rFonts w:ascii="Calibri" w:hAnsi="Calibri"/>
                      <w:b w:val="0"/>
                      <w:sz w:val="17"/>
                    </w:rPr>
                    <w:t>GitHub Webhook</w:t>
                  </w:r>
                </w:p>
              </w:tc>
              <w:tc>
                <w:tcPr>
                  <w:tcW w:w="2200" w:type="dxa"/>
                </w:tcPr>
                <w:p>
                  <w:pPr>
                    <w:spacing w:before="40" w:after="40" w:line="276" w:lineRule="auto"/>
                    <w:jc w:val="left"/>
                  </w:pPr>
                  <w:r>
                    <w:rPr>
                      <w:rFonts w:ascii="Calibri" w:hAnsi="Calibri"/>
                      <w:b w:val="0"/>
                      <w:sz w:val="17"/>
                    </w:rPr>
                    <w:t>GitHub sends HTTP POST payload to Jenkins on push events.</w:t>
                  </w:r>
                </w:p>
              </w:tc>
              <w:tc>
                <w:tcPr>
                  <w:tcW w:w="2200" w:type="dxa"/>
                </w:tcPr>
                <w:p>
                  <w:pPr>
                    <w:spacing w:before="40" w:after="40" w:line="276" w:lineRule="auto"/>
                    <w:jc w:val="left"/>
                  </w:pPr>
                  <w:r>
                    <w:rPr>
                      <w:rFonts w:ascii="Calibri" w:hAnsi="Calibri"/>
                      <w:b w:val="0"/>
                      <w:sz w:val="17"/>
                    </w:rPr>
                    <w:t>Requires public IP or reverse proxy tunnel (ngrok) for inbound webhooks.</w:t>
                  </w:r>
                </w:p>
              </w:tc>
              <w:tc>
                <w:tcPr>
                  <w:tcW w:w="2000" w:type="dxa"/>
                </w:tcPr>
                <w:p>
                  <w:pPr>
                    <w:spacing w:before="40" w:after="40" w:line="276" w:lineRule="auto"/>
                    <w:jc w:val="left"/>
                  </w:pPr>
                  <w:r>
                    <w:rPr>
                      <w:rFonts w:ascii="Calibri" w:hAnsi="Calibri"/>
                      <w:b w:val="0"/>
                      <w:sz w:val="17"/>
                    </w:rPr>
                    <w:t>Standard for Cloud Jenkins (AWS / GCP / Azure).</w:t>
                  </w:r>
                </w:p>
              </w:tc>
            </w:tr>
            <w:tr>
              <w:trPr>
                <w:cantSplit/>
              </w:trPr>
              <w:tc>
                <w:tcPr>
                  <w:tcW w:w="1500" w:type="dxa"/>
                </w:tcPr>
                <w:p>
                  <w:pPr>
                    <w:spacing w:before="40" w:after="40" w:line="276" w:lineRule="auto"/>
                    <w:jc w:val="left"/>
                  </w:pPr>
                  <w:r>
                    <w:rPr>
                      <w:rFonts w:ascii="Calibri" w:hAnsi="Calibri"/>
                      <w:b w:val="0"/>
                      <w:sz w:val="17"/>
                    </w:rPr>
                    <w:t>Scheduled Nightly Build</w:t>
                  </w:r>
                </w:p>
              </w:tc>
              <w:tc>
                <w:tcPr>
                  <w:tcW w:w="2200" w:type="dxa"/>
                </w:tcPr>
                <w:p>
                  <w:pPr>
                    <w:spacing w:before="40" w:after="40" w:line="276" w:lineRule="auto"/>
                    <w:jc w:val="left"/>
                  </w:pPr>
                  <w:r>
                    <w:rPr>
                      <w:rFonts w:ascii="Calibri" w:hAnsi="Calibri"/>
                      <w:b w:val="0"/>
                      <w:sz w:val="17"/>
                    </w:rPr>
                    <w:t>Cron schedule triggers builds daily at midnight (e.g., @midnight).</w:t>
                  </w:r>
                </w:p>
              </w:tc>
              <w:tc>
                <w:tcPr>
                  <w:tcW w:w="2200" w:type="dxa"/>
                </w:tcPr>
                <w:p>
                  <w:pPr>
                    <w:spacing w:before="40" w:after="40" w:line="276" w:lineRule="auto"/>
                    <w:jc w:val="left"/>
                  </w:pPr>
                  <w:r>
                    <w:rPr>
                      <w:rFonts w:ascii="Calibri" w:hAnsi="Calibri"/>
                      <w:b w:val="0"/>
                      <w:sz w:val="17"/>
                    </w:rPr>
                    <w:t>No remote triggers needed; runs full regression and integration suites.</w:t>
                  </w:r>
                </w:p>
              </w:tc>
              <w:tc>
                <w:tcPr>
                  <w:tcW w:w="2000" w:type="dxa"/>
                </w:tcPr>
                <w:p>
                  <w:pPr>
                    <w:spacing w:before="40" w:after="40" w:line="276" w:lineRule="auto"/>
                    <w:jc w:val="left"/>
                  </w:pPr>
                  <w:r>
                    <w:rPr>
                      <w:rFonts w:ascii="Calibri" w:hAnsi="Calibri"/>
                      <w:b w:val="0"/>
                      <w:sz w:val="17"/>
                    </w:rPr>
                    <w:t>Used for long-running end-to-end performance tests.</w:t>
                  </w:r>
                </w:p>
              </w:tc>
            </w:tr>
          </w:tbl>
          <w:p/>
          <w:p>
            <w:pPr>
              <w:keepNext/>
              <w:spacing w:before="120" w:after="40"/>
              <w:jc w:val="center"/>
            </w:pPr>
            <w:r>
              <w:drawing>
                <wp:inline xmlns:a="http://schemas.openxmlformats.org/drawingml/2006/main" xmlns:pic="http://schemas.openxmlformats.org/drawingml/2006/picture">
                  <wp:extent cx="4937760" cy="2900573"/>
                  <wp:docPr id="2" name="Picture 2"/>
                  <wp:cNvGraphicFramePr>
                    <a:graphicFrameLocks noChangeAspect="1"/>
                  </wp:cNvGraphicFramePr>
                  <a:graphic>
                    <a:graphicData uri="http://schemas.openxmlformats.org/drawingml/2006/picture">
                      <pic:pic>
                        <pic:nvPicPr>
                          <pic:cNvPr id="0" name="figure_7_1_jenkins_ci_architecture.png"/>
                          <pic:cNvPicPr/>
                        </pic:nvPicPr>
                        <pic:blipFill>
                          <a:blip r:embed="rId23"/>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7.1: Jenkins Continuous Integration Architecture &amp; Automated Maven Build Pipeline for Customer Review Moderation Portal</w:t>
            </w:r>
          </w:p>
          <w:p>
            <w:pPr>
              <w:keepNext/>
              <w:spacing w:before="160" w:after="60" w:line="276" w:lineRule="auto"/>
            </w:pPr>
            <w:r>
              <w:rPr>
                <w:rFonts w:ascii="Calibri" w:hAnsi="Calibri"/>
                <w:b/>
                <w:sz w:val="24"/>
              </w:rPr>
              <w:t>Automated build execution metrics, Surefire test gate, and console log audit</w:t>
            </w:r>
          </w:p>
          <w:p>
            <w:pPr>
              <w:spacing w:before="20" w:after="60" w:line="276" w:lineRule="auto"/>
            </w:pPr>
            <w:r>
              <w:rPr>
                <w:rFonts w:ascii="Calibri" w:hAnsi="Calibri"/>
                <w:sz w:val="22"/>
              </w:rPr>
              <w:t>Build #1 was triggered through the Jenkins REST API and executed to completion. The build log confirms that all unit and integration test cases passed cleanly, satisfying the CI Quality Gate: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Build Metric / Stage</w:t>
                  </w:r>
                </w:p>
              </w:tc>
              <w:tc>
                <w:tcPr>
                  <w:tcW w:w="2000" w:type="dxa"/>
                  <w:shd w:fill="EAECEE"/>
                </w:tcPr>
                <w:p>
                  <w:pPr>
                    <w:spacing w:before="40" w:after="40" w:line="276" w:lineRule="auto"/>
                    <w:jc w:val="left"/>
                  </w:pPr>
                  <w:r>
                    <w:rPr>
                      <w:rFonts w:ascii="Calibri" w:hAnsi="Calibri"/>
                      <w:b/>
                      <w:sz w:val="19"/>
                    </w:rPr>
                    <w:t>Observed Value</w:t>
                  </w:r>
                </w:p>
              </w:tc>
              <w:tc>
                <w:tcPr>
                  <w:tcW w:w="2500" w:type="dxa"/>
                  <w:shd w:fill="EAECEE"/>
                </w:tcPr>
                <w:p>
                  <w:pPr>
                    <w:spacing w:before="40" w:after="40" w:line="276" w:lineRule="auto"/>
                    <w:jc w:val="left"/>
                  </w:pPr>
                  <w:r>
                    <w:rPr>
                      <w:rFonts w:ascii="Calibri" w:hAnsi="Calibri"/>
                      <w:b/>
                      <w:sz w:val="19"/>
                    </w:rPr>
                    <w:t>Log Evidence / Console Trace</w:t>
                  </w:r>
                </w:p>
              </w:tc>
              <w:tc>
                <w:tcPr>
                  <w:tcW w:w="2000" w:type="dxa"/>
                  <w:shd w:fill="EAECEE"/>
                </w:tcPr>
                <w:p>
                  <w:pPr>
                    <w:spacing w:before="40" w:after="40" w:line="276" w:lineRule="auto"/>
                    <w:jc w:val="left"/>
                  </w:pPr>
                  <w:r>
                    <w:rPr>
                      <w:rFonts w:ascii="Calibri" w:hAnsi="Calibri"/>
                      <w:b/>
                      <w:sz w:val="19"/>
                    </w:rPr>
                    <w:t>Quality Gate Status</w:t>
                  </w:r>
                </w:p>
              </w:tc>
            </w:tr>
            <w:tr>
              <w:trPr>
                <w:cantSplit/>
              </w:trPr>
              <w:tc>
                <w:tcPr>
                  <w:tcW w:w="1400" w:type="dxa"/>
                </w:tcPr>
                <w:p>
                  <w:pPr>
                    <w:spacing w:before="40" w:after="40" w:line="276" w:lineRule="auto"/>
                    <w:jc w:val="left"/>
                  </w:pPr>
                  <w:r>
                    <w:rPr>
                      <w:rFonts w:ascii="Calibri" w:hAnsi="Calibri"/>
                      <w:b w:val="0"/>
                      <w:sz w:val="17"/>
                    </w:rPr>
                    <w:t>Build Number</w:t>
                  </w:r>
                </w:p>
              </w:tc>
              <w:tc>
                <w:tcPr>
                  <w:tcW w:w="2000" w:type="dxa"/>
                </w:tcPr>
                <w:p>
                  <w:pPr>
                    <w:spacing w:before="40" w:after="40" w:line="276" w:lineRule="auto"/>
                    <w:jc w:val="left"/>
                  </w:pPr>
                  <w:r>
                    <w:rPr>
                      <w:rFonts w:ascii="Calibri" w:hAnsi="Calibri"/>
                      <w:b w:val="0"/>
                      <w:sz w:val="17"/>
                    </w:rPr>
                    <w:t>Build #1</w:t>
                  </w:r>
                </w:p>
              </w:tc>
              <w:tc>
                <w:tcPr>
                  <w:tcW w:w="2500" w:type="dxa"/>
                </w:tcPr>
                <w:p>
                  <w:pPr>
                    <w:spacing w:before="40" w:after="40" w:line="276" w:lineRule="auto"/>
                    <w:jc w:val="left"/>
                  </w:pPr>
                  <w:r>
                    <w:rPr>
                      <w:rFonts w:ascii="Calibri" w:hAnsi="Calibri"/>
                      <w:b w:val="0"/>
                      <w:sz w:val="17"/>
                    </w:rPr>
                    <w:t>Started by user unknown or anonymous (REST API trigger)</w:t>
                  </w:r>
                </w:p>
              </w:tc>
              <w:tc>
                <w:tcPr>
                  <w:tcW w:w="2000" w:type="dxa"/>
                </w:tcPr>
                <w:p>
                  <w:pPr>
                    <w:spacing w:before="40" w:after="40" w:line="276" w:lineRule="auto"/>
                    <w:jc w:val="left"/>
                  </w:pPr>
                  <w:r>
                    <w:rPr>
                      <w:rFonts w:ascii="Calibri" w:hAnsi="Calibri"/>
                      <w:b w:val="0"/>
                      <w:sz w:val="17"/>
                    </w:rPr>
                    <w:t>SUCCESS (Green / Blue Ball)</w:t>
                  </w:r>
                </w:p>
              </w:tc>
            </w:tr>
            <w:tr>
              <w:trPr>
                <w:cantSplit/>
              </w:trPr>
              <w:tc>
                <w:tcPr>
                  <w:tcW w:w="1400" w:type="dxa"/>
                </w:tcPr>
                <w:p>
                  <w:pPr>
                    <w:spacing w:before="40" w:after="40" w:line="276" w:lineRule="auto"/>
                    <w:jc w:val="left"/>
                  </w:pPr>
                  <w:r>
                    <w:rPr>
                      <w:rFonts w:ascii="Calibri" w:hAnsi="Calibri"/>
                      <w:b w:val="0"/>
                      <w:sz w:val="17"/>
                    </w:rPr>
                    <w:t>Working Tree Commit</w:t>
                  </w:r>
                </w:p>
              </w:tc>
              <w:tc>
                <w:tcPr>
                  <w:tcW w:w="2000" w:type="dxa"/>
                </w:tcPr>
                <w:p>
                  <w:pPr>
                    <w:spacing w:before="40" w:after="40" w:line="276" w:lineRule="auto"/>
                    <w:jc w:val="left"/>
                  </w:pPr>
                  <w:r>
                    <w:rPr>
                      <w:rFonts w:ascii="Calibri" w:hAnsi="Calibri"/>
                      <w:b w:val="0"/>
                      <w:sz w:val="17"/>
                    </w:rPr>
                    <w:t>14be78f</w:t>
                  </w:r>
                </w:p>
              </w:tc>
              <w:tc>
                <w:tcPr>
                  <w:tcW w:w="2500" w:type="dxa"/>
                </w:tcPr>
                <w:p>
                  <w:pPr>
                    <w:spacing w:before="40" w:after="40" w:line="276" w:lineRule="auto"/>
                    <w:jc w:val="left"/>
                  </w:pPr>
                  <w:r>
                    <w:rPr>
                      <w:rFonts w:ascii="Calibri" w:hAnsi="Calibri"/>
                      <w:b w:val="0"/>
                      <w:sz w:val="17"/>
                    </w:rPr>
                    <w:t>docs: add completed Task 6 report, scripts, backlog update...</w:t>
                  </w:r>
                </w:p>
              </w:tc>
              <w:tc>
                <w:tcPr>
                  <w:tcW w:w="2000" w:type="dxa"/>
                </w:tcPr>
                <w:p>
                  <w:pPr>
                    <w:spacing w:before="40" w:after="40" w:line="276" w:lineRule="auto"/>
                    <w:jc w:val="left"/>
                  </w:pPr>
                  <w:r>
                    <w:rPr>
                      <w:rFonts w:ascii="Calibri" w:hAnsi="Calibri"/>
                      <w:b w:val="0"/>
                      <w:sz w:val="17"/>
                    </w:rPr>
                    <w:t>VERIFIED: Matching origin/dev head</w:t>
                  </w:r>
                </w:p>
              </w:tc>
            </w:tr>
            <w:tr>
              <w:trPr>
                <w:cantSplit/>
              </w:trPr>
              <w:tc>
                <w:tcPr>
                  <w:tcW w:w="1400" w:type="dxa"/>
                </w:tcPr>
                <w:p>
                  <w:pPr>
                    <w:spacing w:before="40" w:after="40" w:line="276" w:lineRule="auto"/>
                    <w:jc w:val="left"/>
                  </w:pPr>
                  <w:r>
                    <w:rPr>
                      <w:rFonts w:ascii="Calibri" w:hAnsi="Calibri"/>
                      <w:b w:val="0"/>
                      <w:sz w:val="17"/>
                    </w:rPr>
                    <w:t>Surefire Unit Tests</w:t>
                  </w:r>
                </w:p>
              </w:tc>
              <w:tc>
                <w:tcPr>
                  <w:tcW w:w="2000" w:type="dxa"/>
                </w:tcPr>
                <w:p>
                  <w:pPr>
                    <w:spacing w:before="40" w:after="40" w:line="276" w:lineRule="auto"/>
                    <w:jc w:val="left"/>
                  </w:pPr>
                  <w:r>
                    <w:rPr>
                      <w:rFonts w:ascii="Calibri" w:hAnsi="Calibri"/>
                      <w:b w:val="0"/>
                      <w:sz w:val="17"/>
                    </w:rPr>
                    <w:t>3 / 3 Passed (0.009 s)</w:t>
                  </w:r>
                </w:p>
              </w:tc>
              <w:tc>
                <w:tcPr>
                  <w:tcW w:w="2500" w:type="dxa"/>
                </w:tcPr>
                <w:p>
                  <w:pPr>
                    <w:spacing w:before="40" w:after="40" w:line="276" w:lineRule="auto"/>
                    <w:jc w:val="left"/>
                  </w:pPr>
                  <w:r>
                    <w:rPr>
                      <w:rFonts w:ascii="Calibri" w:hAnsi="Calibri"/>
                      <w:b w:val="0"/>
                      <w:sz w:val="17"/>
                    </w:rPr>
                    <w:t>com.devops.crmp.SpamDetectionServiceTest</w:t>
                  </w:r>
                </w:p>
              </w:tc>
              <w:tc>
                <w:tcPr>
                  <w:tcW w:w="2000" w:type="dxa"/>
                </w:tcPr>
                <w:p>
                  <w:pPr>
                    <w:spacing w:before="40" w:after="40" w:line="276" w:lineRule="auto"/>
                    <w:jc w:val="left"/>
                  </w:pPr>
                  <w:r>
                    <w:rPr>
                      <w:rFonts w:ascii="Calibri" w:hAnsi="Calibri"/>
                      <w:b w:val="0"/>
                      <w:sz w:val="17"/>
                    </w:rPr>
                    <w:t>PASSED (0 Failures, 0 Errors)</w:t>
                  </w:r>
                </w:p>
              </w:tc>
            </w:tr>
            <w:tr>
              <w:trPr>
                <w:cantSplit/>
              </w:trPr>
              <w:tc>
                <w:tcPr>
                  <w:tcW w:w="1400" w:type="dxa"/>
                </w:tcPr>
                <w:p>
                  <w:pPr>
                    <w:spacing w:before="40" w:after="40" w:line="276" w:lineRule="auto"/>
                    <w:jc w:val="left"/>
                  </w:pPr>
                  <w:r>
                    <w:rPr>
                      <w:rFonts w:ascii="Calibri" w:hAnsi="Calibri"/>
                      <w:b w:val="0"/>
                      <w:sz w:val="17"/>
                    </w:rPr>
                    <w:t>Integration Tests</w:t>
                  </w:r>
                </w:p>
              </w:tc>
              <w:tc>
                <w:tcPr>
                  <w:tcW w:w="2000" w:type="dxa"/>
                </w:tcPr>
                <w:p>
                  <w:pPr>
                    <w:spacing w:before="40" w:after="40" w:line="276" w:lineRule="auto"/>
                    <w:jc w:val="left"/>
                  </w:pPr>
                  <w:r>
                    <w:rPr>
                      <w:rFonts w:ascii="Calibri" w:hAnsi="Calibri"/>
                      <w:b w:val="0"/>
                      <w:sz w:val="17"/>
                    </w:rPr>
                    <w:t>7 / 7 Passed (8.327 s)</w:t>
                  </w:r>
                </w:p>
              </w:tc>
              <w:tc>
                <w:tcPr>
                  <w:tcW w:w="2500" w:type="dxa"/>
                </w:tcPr>
                <w:p>
                  <w:pPr>
                    <w:spacing w:before="40" w:after="40" w:line="276" w:lineRule="auto"/>
                    <w:jc w:val="left"/>
                  </w:pPr>
                  <w:r>
                    <w:rPr>
                      <w:rFonts w:ascii="Calibri" w:hAnsi="Calibri"/>
                      <w:b w:val="0"/>
                      <w:sz w:val="17"/>
                    </w:rPr>
                    <w:t>com.devops.crmp.CustomerReviewPortalApplicationTests</w:t>
                  </w:r>
                </w:p>
              </w:tc>
              <w:tc>
                <w:tcPr>
                  <w:tcW w:w="2000" w:type="dxa"/>
                </w:tcPr>
                <w:p>
                  <w:pPr>
                    <w:spacing w:before="40" w:after="40" w:line="276" w:lineRule="auto"/>
                    <w:jc w:val="left"/>
                  </w:pPr>
                  <w:r>
                    <w:rPr>
                      <w:rFonts w:ascii="Calibri" w:hAnsi="Calibri"/>
                      <w:b w:val="0"/>
                      <w:sz w:val="17"/>
                    </w:rPr>
                    <w:t>PASSED (0 Failures, 0 Errors)</w:t>
                  </w:r>
                </w:p>
              </w:tc>
            </w:tr>
            <w:tr>
              <w:trPr>
                <w:cantSplit/>
              </w:trPr>
              <w:tc>
                <w:tcPr>
                  <w:tcW w:w="1400" w:type="dxa"/>
                </w:tcPr>
                <w:p>
                  <w:pPr>
                    <w:spacing w:before="40" w:after="40" w:line="276" w:lineRule="auto"/>
                    <w:jc w:val="left"/>
                  </w:pPr>
                  <w:r>
                    <w:rPr>
                      <w:rFonts w:ascii="Calibri" w:hAnsi="Calibri"/>
                      <w:b w:val="0"/>
                      <w:sz w:val="17"/>
                    </w:rPr>
                    <w:t>Total Build Duration</w:t>
                  </w:r>
                </w:p>
              </w:tc>
              <w:tc>
                <w:tcPr>
                  <w:tcW w:w="2000" w:type="dxa"/>
                </w:tcPr>
                <w:p>
                  <w:pPr>
                    <w:spacing w:before="40" w:after="40" w:line="276" w:lineRule="auto"/>
                    <w:jc w:val="left"/>
                  </w:pPr>
                  <w:r>
                    <w:rPr>
                      <w:rFonts w:ascii="Calibri" w:hAnsi="Calibri"/>
                      <w:b w:val="0"/>
                      <w:sz w:val="17"/>
                    </w:rPr>
                    <w:t>40.86 seconds (40861 ms)</w:t>
                  </w:r>
                </w:p>
              </w:tc>
              <w:tc>
                <w:tcPr>
                  <w:tcW w:w="2500" w:type="dxa"/>
                </w:tcPr>
                <w:p>
                  <w:pPr>
                    <w:spacing w:before="40" w:after="40" w:line="276" w:lineRule="auto"/>
                    <w:jc w:val="left"/>
                  </w:pPr>
                  <w:r>
                    <w:rPr>
                      <w:rFonts w:ascii="Calibri" w:hAnsi="Calibri"/>
                      <w:b w:val="0"/>
                      <w:sz w:val="17"/>
                    </w:rPr>
                    <w:t>Finished: SUCCESS at 19:16:27 IST</w:t>
                  </w:r>
                </w:p>
              </w:tc>
              <w:tc>
                <w:tcPr>
                  <w:tcW w:w="2000" w:type="dxa"/>
                </w:tcPr>
                <w:p>
                  <w:pPr>
                    <w:spacing w:before="40" w:after="40" w:line="276" w:lineRule="auto"/>
                    <w:jc w:val="left"/>
                  </w:pPr>
                  <w:r>
                    <w:rPr>
                      <w:rFonts w:ascii="Calibri" w:hAnsi="Calibri"/>
                      <w:b w:val="0"/>
                      <w:sz w:val="17"/>
                    </w:rPr>
                    <w:t>PASSED (Well under 5-min SLA)</w:t>
                  </w:r>
                </w:p>
              </w:tc>
            </w:tr>
          </w:tbl>
          <w:p/>
          <w:p>
            <w:pPr>
              <w:keepNext/>
              <w:spacing w:before="160" w:after="60" w:line="276" w:lineRule="auto"/>
            </w:pPr>
            <w:r>
              <w:rPr>
                <w:rFonts w:ascii="Calibri" w:hAnsi="Calibri"/>
                <w:b/>
                <w:sz w:val="24"/>
              </w:rPr>
              <w:t>Post-build action: Artifact archiving and immutable binary preservation</w:t>
            </w:r>
          </w:p>
          <w:p>
            <w:pPr>
              <w:spacing w:before="20" w:after="60" w:line="276" w:lineRule="auto"/>
            </w:pPr>
            <w:r>
              <w:rPr>
                <w:rFonts w:ascii="Calibri" w:hAnsi="Calibri"/>
                <w:sz w:val="22"/>
              </w:rPr>
              <w:t>In Continuous Integration, compiling code without archiving the verified artifact forces downstream deployment stages to recompile from scratch, violating the fundamental DevOps rule: 'Build Once, Deploy Many Times'. Jenkins's ArtifactArchiver post-build step captures the generated executable JAR and stores it immutably in the build directory: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Artifact Property</w:t>
                  </w:r>
                </w:p>
              </w:tc>
              <w:tc>
                <w:tcPr>
                  <w:tcW w:w="3100" w:type="dxa"/>
                  <w:shd w:fill="EAECEE"/>
                </w:tcPr>
                <w:p>
                  <w:pPr>
                    <w:spacing w:before="40" w:after="40" w:line="276" w:lineRule="auto"/>
                    <w:jc w:val="left"/>
                  </w:pPr>
                  <w:r>
                    <w:rPr>
                      <w:rFonts w:ascii="Calibri" w:hAnsi="Calibri"/>
                      <w:b/>
                      <w:sz w:val="19"/>
                    </w:rPr>
                    <w:t>Verified Value on Server</w:t>
                  </w:r>
                </w:p>
              </w:tc>
              <w:tc>
                <w:tcPr>
                  <w:tcW w:w="3000" w:type="dxa"/>
                  <w:shd w:fill="EAECEE"/>
                </w:tcPr>
                <w:p>
                  <w:pPr>
                    <w:spacing w:before="40" w:after="40" w:line="276" w:lineRule="auto"/>
                    <w:jc w:val="left"/>
                  </w:pPr>
                  <w:r>
                    <w:rPr>
                      <w:rFonts w:ascii="Calibri" w:hAnsi="Calibri"/>
                      <w:b/>
                      <w:sz w:val="19"/>
                    </w:rPr>
                    <w:t>DevOps Deployment Rationale</w:t>
                  </w:r>
                </w:p>
              </w:tc>
            </w:tr>
            <w:tr>
              <w:trPr>
                <w:cantSplit/>
              </w:trPr>
              <w:tc>
                <w:tcPr>
                  <w:tcW w:w="1800" w:type="dxa"/>
                </w:tcPr>
                <w:p>
                  <w:pPr>
                    <w:spacing w:before="40" w:after="40" w:line="276" w:lineRule="auto"/>
                    <w:jc w:val="left"/>
                  </w:pPr>
                  <w:r>
                    <w:rPr>
                      <w:rFonts w:ascii="Calibri" w:hAnsi="Calibri"/>
                      <w:b w:val="0"/>
                      <w:sz w:val="17"/>
                    </w:rPr>
                    <w:t>Archived File Name</w:t>
                  </w:r>
                </w:p>
              </w:tc>
              <w:tc>
                <w:tcPr>
                  <w:tcW w:w="3100" w:type="dxa"/>
                </w:tcPr>
                <w:p>
                  <w:pPr>
                    <w:spacing w:before="40" w:after="40" w:line="276" w:lineRule="auto"/>
                    <w:jc w:val="left"/>
                  </w:pPr>
                  <w:r>
                    <w:rPr>
                      <w:rFonts w:ascii="Calibri" w:hAnsi="Calibri"/>
                      <w:b w:val="0"/>
                      <w:sz w:val="17"/>
                    </w:rPr>
                    <w:t>customer-review-moderation-portal-1.0.0-SNAPSHOT.jar</w:t>
                  </w:r>
                </w:p>
              </w:tc>
              <w:tc>
                <w:tcPr>
                  <w:tcW w:w="3000" w:type="dxa"/>
                </w:tcPr>
                <w:p>
                  <w:pPr>
                    <w:spacing w:before="40" w:after="40" w:line="276" w:lineRule="auto"/>
                    <w:jc w:val="left"/>
                  </w:pPr>
                  <w:r>
                    <w:rPr>
                      <w:rFonts w:ascii="Calibri" w:hAnsi="Calibri"/>
                      <w:b w:val="0"/>
                      <w:sz w:val="17"/>
                    </w:rPr>
                    <w:t>Standard Maven versioned executable archive with embedded Temurin/Jetty runtime.</w:t>
                  </w:r>
                </w:p>
              </w:tc>
            </w:tr>
            <w:tr>
              <w:trPr>
                <w:cantSplit/>
              </w:trPr>
              <w:tc>
                <w:tcPr>
                  <w:tcW w:w="1800" w:type="dxa"/>
                </w:tcPr>
                <w:p>
                  <w:pPr>
                    <w:spacing w:before="40" w:after="40" w:line="276" w:lineRule="auto"/>
                    <w:jc w:val="left"/>
                  </w:pPr>
                  <w:r>
                    <w:rPr>
                      <w:rFonts w:ascii="Calibri" w:hAnsi="Calibri"/>
                      <w:b w:val="0"/>
                      <w:sz w:val="17"/>
                    </w:rPr>
                    <w:t>File Size on Disk</w:t>
                  </w:r>
                </w:p>
              </w:tc>
              <w:tc>
                <w:tcPr>
                  <w:tcW w:w="3100" w:type="dxa"/>
                </w:tcPr>
                <w:p>
                  <w:pPr>
                    <w:spacing w:before="40" w:after="40" w:line="276" w:lineRule="auto"/>
                    <w:jc w:val="left"/>
                  </w:pPr>
                  <w:r>
                    <w:rPr>
                      <w:rFonts w:ascii="Calibri" w:hAnsi="Calibri"/>
                      <w:b w:val="0"/>
                      <w:sz w:val="17"/>
                    </w:rPr>
                    <w:t>53,041,757 bytes (53.0 MB)</w:t>
                  </w:r>
                </w:p>
              </w:tc>
              <w:tc>
                <w:tcPr>
                  <w:tcW w:w="3000" w:type="dxa"/>
                </w:tcPr>
                <w:p>
                  <w:pPr>
                    <w:spacing w:before="40" w:after="40" w:line="276" w:lineRule="auto"/>
                    <w:jc w:val="left"/>
                  </w:pPr>
                  <w:r>
                    <w:rPr>
                      <w:rFonts w:ascii="Calibri" w:hAnsi="Calibri"/>
                      <w:b w:val="0"/>
                      <w:sz w:val="17"/>
                    </w:rPr>
                    <w:t>Includes all Spring Boot starters, Hibernate JPA, H2 engine, and Thymeleaf dependencies.</w:t>
                  </w:r>
                </w:p>
              </w:tc>
            </w:tr>
            <w:tr>
              <w:trPr>
                <w:cantSplit/>
              </w:trPr>
              <w:tc>
                <w:tcPr>
                  <w:tcW w:w="1800" w:type="dxa"/>
                </w:tcPr>
                <w:p>
                  <w:pPr>
                    <w:spacing w:before="40" w:after="40" w:line="276" w:lineRule="auto"/>
                    <w:jc w:val="left"/>
                  </w:pPr>
                  <w:r>
                    <w:rPr>
                      <w:rFonts w:ascii="Calibri" w:hAnsi="Calibri"/>
                      <w:b w:val="0"/>
                      <w:sz w:val="17"/>
                    </w:rPr>
                    <w:t>Archive Storage Path</w:t>
                  </w:r>
                </w:p>
              </w:tc>
              <w:tc>
                <w:tcPr>
                  <w:tcW w:w="3100" w:type="dxa"/>
                </w:tcPr>
                <w:p>
                  <w:pPr>
                    <w:spacing w:before="40" w:after="40" w:line="276" w:lineRule="auto"/>
                    <w:jc w:val="left"/>
                  </w:pPr>
                  <w:r>
                    <w:rPr>
                      <w:rFonts w:ascii="Calibri" w:hAnsi="Calibri"/>
                      <w:b w:val="0"/>
                      <w:sz w:val="17"/>
                    </w:rPr>
                    <w:t>D:\jenkins_home\jobs\CRMP-Maven-CI\builds\1\archive\target</w:t>
                  </w:r>
                </w:p>
              </w:tc>
              <w:tc>
                <w:tcPr>
                  <w:tcW w:w="3000" w:type="dxa"/>
                </w:tcPr>
                <w:p>
                  <w:pPr>
                    <w:spacing w:before="40" w:after="40" w:line="276" w:lineRule="auto"/>
                    <w:jc w:val="left"/>
                  </w:pPr>
                  <w:r>
                    <w:rPr>
                      <w:rFonts w:ascii="Calibri" w:hAnsi="Calibri"/>
                      <w:b w:val="0"/>
                      <w:sz w:val="17"/>
                    </w:rPr>
                    <w:t>Permanent disk location accessible via Jenkins Web UI and REST API for downstream deployment.</w:t>
                  </w:r>
                </w:p>
              </w:tc>
            </w:tr>
            <w:tr>
              <w:trPr>
                <w:cantSplit/>
              </w:trPr>
              <w:tc>
                <w:tcPr>
                  <w:tcW w:w="1800" w:type="dxa"/>
                </w:tcPr>
                <w:p>
                  <w:pPr>
                    <w:spacing w:before="40" w:after="40" w:line="276" w:lineRule="auto"/>
                    <w:jc w:val="left"/>
                  </w:pPr>
                  <w:r>
                    <w:rPr>
                      <w:rFonts w:ascii="Calibri" w:hAnsi="Calibri"/>
                      <w:b w:val="0"/>
                      <w:sz w:val="17"/>
                    </w:rPr>
                    <w:t>Download Endpoint</w:t>
                  </w:r>
                </w:p>
              </w:tc>
              <w:tc>
                <w:tcPr>
                  <w:tcW w:w="3100" w:type="dxa"/>
                </w:tcPr>
                <w:p>
                  <w:pPr>
                    <w:spacing w:before="40" w:after="40" w:line="276" w:lineRule="auto"/>
                    <w:jc w:val="left"/>
                  </w:pPr>
                  <w:r>
                    <w:rPr>
                      <w:rFonts w:ascii="Calibri" w:hAnsi="Calibri"/>
                      <w:b w:val="0"/>
                      <w:sz w:val="17"/>
                    </w:rPr>
                    <w:t>http://localhost:8085/job/CRMP-Maven-CI/1/artifact/target/...</w:t>
                  </w:r>
                </w:p>
              </w:tc>
              <w:tc>
                <w:tcPr>
                  <w:tcW w:w="3000" w:type="dxa"/>
                </w:tcPr>
                <w:p>
                  <w:pPr>
                    <w:spacing w:before="40" w:after="40" w:line="276" w:lineRule="auto"/>
                    <w:jc w:val="left"/>
                  </w:pPr>
                  <w:r>
                    <w:rPr>
                      <w:rFonts w:ascii="Calibri" w:hAnsi="Calibri"/>
                      <w:b w:val="0"/>
                      <w:sz w:val="17"/>
                    </w:rPr>
                    <w:t>Direct HTTP download link enabling Docker image packaging in Task 11 and server deployment in Task 8.</w:t>
                  </w:r>
                </w:p>
              </w:tc>
            </w:tr>
          </w:tbl>
          <w:p/>
          <w:p>
            <w:pPr>
              <w:keepNext/>
              <w:spacing w:before="160" w:after="60" w:line="276" w:lineRule="auto"/>
            </w:pPr>
            <w:r>
              <w:rPr>
                <w:rFonts w:ascii="Calibri" w:hAnsi="Calibri"/>
                <w:b/>
                <w:sz w:val="24"/>
              </w:rPr>
              <w:t>Live system execution, Jenkins Web UI, and console log evidence</w:t>
            </w:r>
          </w:p>
          <w:p>
            <w:pPr>
              <w:spacing w:before="20" w:after="60" w:line="276" w:lineRule="auto"/>
            </w:pPr>
            <w:r>
              <w:rPr>
                <w:rFonts w:ascii="Calibri" w:hAnsi="Calibri"/>
                <w:sz w:val="22"/>
              </w:rPr>
              <w:t>The figures below present authentic, verifiable evidence captured directly from the live Jenkins server running on localhost:8085, including the main dashboard, job overview, console log, and PowerShell execution session:</w:t>
            </w:r>
          </w:p>
          <w:p>
            <w:pPr>
              <w:keepNext/>
              <w:spacing w:before="120" w:after="40"/>
              <w:jc w:val="center"/>
            </w:pPr>
            <w:r>
              <w:drawing>
                <wp:inline xmlns:a="http://schemas.openxmlformats.org/drawingml/2006/main" xmlns:pic="http://schemas.openxmlformats.org/drawingml/2006/picture">
                  <wp:extent cx="4937760" cy="3471862"/>
                  <wp:docPr id="3" name="Picture 3"/>
                  <wp:cNvGraphicFramePr>
                    <a:graphicFrameLocks noChangeAspect="1"/>
                  </wp:cNvGraphicFramePr>
                  <a:graphic>
                    <a:graphicData uri="http://schemas.openxmlformats.org/drawingml/2006/picture">
                      <pic:pic>
                        <pic:nvPicPr>
                          <pic:cNvPr id="0" name="jenkins_dashboard_live.png"/>
                          <pic:cNvPicPr/>
                        </pic:nvPicPr>
                        <pic:blipFill>
                          <a:blip r:embed="rId24"/>
                          <a:stretch>
                            <a:fillRect/>
                          </a:stretch>
                        </pic:blipFill>
                        <pic:spPr>
                          <a:xfrm>
                            <a:off x="0" y="0"/>
                            <a:ext cx="4937760" cy="3471862"/>
                          </a:xfrm>
                          <a:prstGeom prst="rect"/>
                        </pic:spPr>
                      </pic:pic>
                    </a:graphicData>
                  </a:graphic>
                </wp:inline>
              </w:drawing>
            </w:r>
          </w:p>
          <w:p>
            <w:pPr>
              <w:keepNext/>
              <w:spacing w:before="40" w:after="160"/>
              <w:jc w:val="center"/>
            </w:pPr>
            <w:r>
              <w:rPr>
                <w:rFonts w:ascii="Calibri" w:hAnsi="Calibri"/>
                <w:b/>
                <w:sz w:val="20"/>
              </w:rPr>
              <w:t>Figure 7.2: Verified Live Jenkins Dashboard (http://localhost:8085) Displaying Healthy Job CRMP-Maven-CI with Successful Build Ball</w:t>
            </w:r>
          </w:p>
          <w:p>
            <w:pPr>
              <w:keepNext/>
              <w:spacing w:before="120" w:after="40"/>
              <w:jc w:val="center"/>
            </w:pPr>
            <w:r>
              <w:drawing>
                <wp:inline xmlns:a="http://schemas.openxmlformats.org/drawingml/2006/main" xmlns:pic="http://schemas.openxmlformats.org/drawingml/2006/picture">
                  <wp:extent cx="4937760" cy="3664744"/>
                  <wp:docPr id="4" name="Picture 4"/>
                  <wp:cNvGraphicFramePr>
                    <a:graphicFrameLocks noChangeAspect="1"/>
                  </wp:cNvGraphicFramePr>
                  <a:graphic>
                    <a:graphicData uri="http://schemas.openxmlformats.org/drawingml/2006/picture">
                      <pic:pic>
                        <pic:nvPicPr>
                          <pic:cNvPr id="0" name="jenkins_job_overview_live.png"/>
                          <pic:cNvPicPr/>
                        </pic:nvPicPr>
                        <pic:blipFill>
                          <a:blip r:embed="rId25"/>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7.3: Live Jenkins Job Overview Page Showing Build #1 History, Success Status, and Archived Executable JAR Artifact</w:t>
            </w:r>
          </w:p>
          <w:p>
            <w:pPr>
              <w:keepNext/>
              <w:spacing w:before="120" w:after="40"/>
              <w:jc w:val="center"/>
            </w:pPr>
            <w:r>
              <w:drawing>
                <wp:inline xmlns:a="http://schemas.openxmlformats.org/drawingml/2006/main" xmlns:pic="http://schemas.openxmlformats.org/drawingml/2006/picture">
                  <wp:extent cx="4937760" cy="4050506"/>
                  <wp:docPr id="5" name="Picture 5"/>
                  <wp:cNvGraphicFramePr>
                    <a:graphicFrameLocks noChangeAspect="1"/>
                  </wp:cNvGraphicFramePr>
                  <a:graphic>
                    <a:graphicData uri="http://schemas.openxmlformats.org/drawingml/2006/picture">
                      <pic:pic>
                        <pic:nvPicPr>
                          <pic:cNvPr id="0" name="jenkins_console_output_live.png"/>
                          <pic:cNvPicPr/>
                        </pic:nvPicPr>
                        <pic:blipFill>
                          <a:blip r:embed="rId26"/>
                          <a:stretch>
                            <a:fillRect/>
                          </a:stretch>
                        </pic:blipFill>
                        <pic:spPr>
                          <a:xfrm>
                            <a:off x="0" y="0"/>
                            <a:ext cx="4937760" cy="4050506"/>
                          </a:xfrm>
                          <a:prstGeom prst="rect"/>
                        </pic:spPr>
                      </pic:pic>
                    </a:graphicData>
                  </a:graphic>
                </wp:inline>
              </w:drawing>
            </w:r>
          </w:p>
          <w:p>
            <w:pPr>
              <w:keepNext/>
              <w:spacing w:before="40" w:after="160"/>
              <w:jc w:val="center"/>
            </w:pPr>
            <w:r>
              <w:rPr>
                <w:rFonts w:ascii="Calibri" w:hAnsi="Calibri"/>
                <w:b/>
                <w:sz w:val="20"/>
              </w:rPr>
              <w:t>Figure 7.4: Live Jenkins Console Output Trace for Build #1 (Git Clone, Maven Compilation, Surefire Test Execution, and Finished: SUCCESS)</w:t>
            </w:r>
          </w:p>
          <w:p>
            <w:pPr>
              <w:keepNext/>
              <w:spacing w:before="120" w:after="40"/>
              <w:jc w:val="center"/>
            </w:pPr>
            <w:r>
              <w:drawing>
                <wp:inline xmlns:a="http://schemas.openxmlformats.org/drawingml/2006/main" xmlns:pic="http://schemas.openxmlformats.org/drawingml/2006/picture">
                  <wp:extent cx="4937760" cy="3374136"/>
                  <wp:docPr id="6" name="Picture 6"/>
                  <wp:cNvGraphicFramePr>
                    <a:graphicFrameLocks noChangeAspect="1"/>
                  </wp:cNvGraphicFramePr>
                  <a:graphic>
                    <a:graphicData uri="http://schemas.openxmlformats.org/drawingml/2006/picture">
                      <pic:pic>
                        <pic:nvPicPr>
                          <pic:cNvPr id="0" name="jenkins_terminal_live.png"/>
                          <pic:cNvPicPr/>
                        </pic:nvPicPr>
                        <pic:blipFill>
                          <a:blip r:embed="rId27"/>
                          <a:stretch>
                            <a:fillRect/>
                          </a:stretch>
                        </pic:blipFill>
                        <pic:spPr>
                          <a:xfrm>
                            <a:off x="0" y="0"/>
                            <a:ext cx="4937760" cy="3374136"/>
                          </a:xfrm>
                          <a:prstGeom prst="rect"/>
                        </pic:spPr>
                      </pic:pic>
                    </a:graphicData>
                  </a:graphic>
                </wp:inline>
              </w:drawing>
            </w:r>
          </w:p>
          <w:p>
            <w:pPr>
              <w:keepNext/>
              <w:spacing w:before="40" w:after="160"/>
              <w:jc w:val="center"/>
            </w:pPr>
            <w:r>
              <w:rPr>
                <w:rFonts w:ascii="Calibri" w:hAnsi="Calibri"/>
                <w:b/>
                <w:sz w:val="20"/>
              </w:rPr>
              <w:t>Figure 7.5: Real PowerShell Session Execution (Jenkins Server Startup on Port 8085, REST API Build Trigger, and On-Disk Artifact Verification)</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installed, configured, and verified an enterprise Continuous Integration (CI) pipeline using Jenkins for the Customer Review Moderation Portal (CRMP) under academic standards (Rushikesh Gawade, Roll No: 23102A0052, Dr. Snehal Andhare). I deployed Jenkins v2.580.1 on port 8085, connected it to the remote GitHub repository (https://github.com/RushikeshGawade01/customer-review-moderation-portal.git), and configured an automated Freestyle Maven build job ('CRMP-Maven-CI') with an SCM polling schedule ('H/5 * * * *'). Build #1 executed to completion in 40.86 seconds, pulling commit 14be78f, executing the complete Surefire test harness (10/10 tests passed with zero regressions), compiling the production binary, and archiving the resulting 53.0 MB executable JAR artifact. This automated build and quality gate foundation ensures immutable artifact traceability and complete readiness for Pipeline as Code (Jenkinsfile) and server deployment in Task 8.</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