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15</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Final End-to-End Release, Documentation and Viva: Run the complete Customer Review Moderation Portal DevOps workflow from Git commit to Jenkins build, Selenium quality gate, Docker deployment and Puppet/Ansible provisioning. Complete technical documentation, architecture, troubleshooting guide, limitations and future enhancement plan.</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PC (x86_64 architecture), 16 GB Physical RAM, 512 GB NVMe SSD, Multi-core Processor (Intel Core i5/i7 / AMD Ryzen), Dedicated Gigabit NIC</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Microsoft Windows 11 Enterprise (64-bit), OpenJDK 21 (Eclipse Temurin JRE 21), Apache Maven 3.9.6, Git 2.45+, Jenkins 2.440+, Docker Engine 26.1.4, Ansible Core 2.16.5, Selenium WebDriver 4.19.1, Google Chrome / Edge Headless, Spring Boot 3.3.4, H2 Database Engine, PowerShell 7.4</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4"/>
              </w:rPr>
              <w:t>1. Executive Summary &amp; Capstone DevOps Release Architecture</w:t>
            </w:r>
          </w:p>
          <w:p>
            <w:pPr>
              <w:spacing w:before="20" w:after="60" w:line="276" w:lineRule="auto"/>
            </w:pPr>
            <w:r>
              <w:rPr>
                <w:rFonts w:ascii="Calibri" w:hAnsi="Calibri"/>
                <w:sz w:val="22"/>
              </w:rPr>
              <w:t>The Customer Review Moderation Portal (CRMP) represents an enterprise-grade, microservice-ready web application engineered to ingest consumer feedback, perform automated profanity and spam filtering, enforce role-based moderation workflows, and expose real-time operational telemetry. Task 15 marks the final capstone culmination of the comprehensive 15-task laboratory curriculum in DevOps Engineering. It synthesizes all foundational disciplines - Agile product planning, Git version control, continuous integration, automated Selenium regression testing, multi-stage Docker containerization, container registry distribution, Ansible configuration management, strict idempotency validation, live health telemetry, and disaster recovery rollback - into an unbroken, automated end-to-end delivery lifecycle.</w:t>
            </w:r>
          </w:p>
          <w:p>
            <w:pPr>
              <w:spacing w:before="20" w:after="60" w:line="276" w:lineRule="auto"/>
            </w:pPr>
            <w:r>
              <w:rPr>
                <w:rFonts w:ascii="Calibri" w:hAnsi="Calibri"/>
                <w:sz w:val="22"/>
              </w:rPr>
              <w:t>The fundamental objective of Task 15 is to empirically demonstrate that modern software releases can be transitioned from code commit to hardened production deployment with zero manual intervention, predictable zero-defect quality gating, and instantaneous rollback capability. Every individual phase across the entire academic journey is tied directly to verifiable artifacts in the project repository:</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900" w:type="dxa"/>
                  <w:shd w:fill="EAECEE"/>
                </w:tcPr>
                <w:p>
                  <w:pPr>
                    <w:spacing w:before="40" w:after="40" w:line="276" w:lineRule="auto"/>
                    <w:jc w:val="left"/>
                  </w:pPr>
                  <w:r>
                    <w:rPr>
                      <w:rFonts w:ascii="Calibri" w:hAnsi="Calibri"/>
                      <w:b/>
                      <w:sz w:val="19"/>
                    </w:rPr>
                    <w:t>Task No. &amp; Focus</w:t>
                  </w:r>
                </w:p>
              </w:tc>
              <w:tc>
                <w:tcPr>
                  <w:tcW w:w="1800" w:type="dxa"/>
                  <w:shd w:fill="EAECEE"/>
                </w:tcPr>
                <w:p>
                  <w:pPr>
                    <w:spacing w:before="40" w:after="40" w:line="276" w:lineRule="auto"/>
                    <w:jc w:val="left"/>
                  </w:pPr>
                  <w:r>
                    <w:rPr>
                      <w:rFonts w:ascii="Calibri" w:hAnsi="Calibri"/>
                      <w:b/>
                      <w:sz w:val="19"/>
                    </w:rPr>
                    <w:t>DevOps Lifecycle Phase</w:t>
                  </w:r>
                </w:p>
              </w:tc>
              <w:tc>
                <w:tcPr>
                  <w:tcW w:w="2000" w:type="dxa"/>
                  <w:shd w:fill="EAECEE"/>
                </w:tcPr>
                <w:p>
                  <w:pPr>
                    <w:spacing w:before="40" w:after="40" w:line="276" w:lineRule="auto"/>
                    <w:jc w:val="left"/>
                  </w:pPr>
                  <w:r>
                    <w:rPr>
                      <w:rFonts w:ascii="Calibri" w:hAnsi="Calibri"/>
                      <w:b/>
                      <w:sz w:val="19"/>
                    </w:rPr>
                    <w:t>Tooling &amp; Technology Stack</w:t>
                  </w:r>
                </w:p>
              </w:tc>
              <w:tc>
                <w:tcPr>
                  <w:tcW w:w="2200" w:type="dxa"/>
                  <w:shd w:fill="EAECEE"/>
                </w:tcPr>
                <w:p>
                  <w:pPr>
                    <w:spacing w:before="40" w:after="40" w:line="276" w:lineRule="auto"/>
                    <w:jc w:val="left"/>
                  </w:pPr>
                  <w:r>
                    <w:rPr>
                      <w:rFonts w:ascii="Calibri" w:hAnsi="Calibri"/>
                      <w:b/>
                      <w:sz w:val="19"/>
                    </w:rPr>
                    <w:t>Key Verifiable Deliverable &amp; Status</w:t>
                  </w:r>
                </w:p>
              </w:tc>
            </w:tr>
            <w:tr>
              <w:trPr>
                <w:cantSplit/>
              </w:trPr>
              <w:tc>
                <w:tcPr>
                  <w:tcW w:w="1900" w:type="dxa"/>
                </w:tcPr>
                <w:p>
                  <w:pPr>
                    <w:spacing w:before="40" w:after="40" w:line="276" w:lineRule="auto"/>
                    <w:jc w:val="left"/>
                  </w:pPr>
                  <w:r>
                    <w:rPr>
                      <w:rFonts w:ascii="Calibri" w:hAnsi="Calibri"/>
                      <w:b/>
                      <w:sz w:val="18"/>
                    </w:rPr>
                    <w:t>Task 1: Problem &amp; Scope</w:t>
                  </w:r>
                </w:p>
              </w:tc>
              <w:tc>
                <w:tcPr>
                  <w:tcW w:w="1800" w:type="dxa"/>
                </w:tcPr>
                <w:p>
                  <w:pPr>
                    <w:spacing w:before="40" w:after="40" w:line="276" w:lineRule="auto"/>
                    <w:jc w:val="left"/>
                  </w:pPr>
                  <w:r>
                    <w:rPr>
                      <w:rFonts w:ascii="Calibri" w:hAnsi="Calibri"/>
                      <w:b w:val="0"/>
                      <w:sz w:val="18"/>
                    </w:rPr>
                    <w:t>Problem Formulation</w:t>
                  </w:r>
                </w:p>
              </w:tc>
              <w:tc>
                <w:tcPr>
                  <w:tcW w:w="2000" w:type="dxa"/>
                </w:tcPr>
                <w:p>
                  <w:pPr>
                    <w:spacing w:before="40" w:after="40" w:line="276" w:lineRule="auto"/>
                    <w:jc w:val="left"/>
                  </w:pPr>
                  <w:r>
                    <w:rPr>
                      <w:rFonts w:ascii="Calibri" w:hAnsi="Calibri"/>
                      <w:b w:val="0"/>
                      <w:sz w:val="18"/>
                    </w:rPr>
                    <w:t>Word Template, Enterprise Spec</w:t>
                  </w:r>
                </w:p>
              </w:tc>
              <w:tc>
                <w:tcPr>
                  <w:tcW w:w="2200" w:type="dxa"/>
                </w:tcPr>
                <w:p>
                  <w:pPr>
                    <w:spacing w:before="40" w:after="40" w:line="276" w:lineRule="auto"/>
                    <w:jc w:val="left"/>
                  </w:pPr>
                  <w:r>
                    <w:rPr>
                      <w:rFonts w:ascii="Calibri" w:hAnsi="Calibri"/>
                      <w:b w:val="0"/>
                      <w:sz w:val="18"/>
                    </w:rPr>
                    <w:t>Frozen 15-Task MVP scope approved</w:t>
                  </w:r>
                </w:p>
              </w:tc>
            </w:tr>
            <w:tr>
              <w:trPr>
                <w:cantSplit/>
              </w:trPr>
              <w:tc>
                <w:tcPr>
                  <w:tcW w:w="1900" w:type="dxa"/>
                </w:tcPr>
                <w:p>
                  <w:pPr>
                    <w:spacing w:before="40" w:after="40" w:line="276" w:lineRule="auto"/>
                    <w:jc w:val="left"/>
                  </w:pPr>
                  <w:r>
                    <w:rPr>
                      <w:rFonts w:ascii="Calibri" w:hAnsi="Calibri"/>
                      <w:b/>
                      <w:sz w:val="18"/>
                    </w:rPr>
                    <w:t>Task 2: Agile Planning</w:t>
                  </w:r>
                </w:p>
              </w:tc>
              <w:tc>
                <w:tcPr>
                  <w:tcW w:w="1800" w:type="dxa"/>
                </w:tcPr>
                <w:p>
                  <w:pPr>
                    <w:spacing w:before="40" w:after="40" w:line="276" w:lineRule="auto"/>
                    <w:jc w:val="left"/>
                  </w:pPr>
                  <w:r>
                    <w:rPr>
                      <w:rFonts w:ascii="Calibri" w:hAnsi="Calibri"/>
                      <w:b w:val="0"/>
                      <w:sz w:val="18"/>
                    </w:rPr>
                    <w:t>Agile Kanban &amp; SCM Planning</w:t>
                  </w:r>
                </w:p>
              </w:tc>
              <w:tc>
                <w:tcPr>
                  <w:tcW w:w="2000" w:type="dxa"/>
                </w:tcPr>
                <w:p>
                  <w:pPr>
                    <w:spacing w:before="40" w:after="40" w:line="276" w:lineRule="auto"/>
                    <w:jc w:val="left"/>
                  </w:pPr>
                  <w:r>
                    <w:rPr>
                      <w:rFonts w:ascii="Calibri" w:hAnsi="Calibri"/>
                      <w:b w:val="0"/>
                      <w:sz w:val="18"/>
                    </w:rPr>
                    <w:t>Kanban Board, Scrum Backlog</w:t>
                  </w:r>
                </w:p>
              </w:tc>
              <w:tc>
                <w:tcPr>
                  <w:tcW w:w="2200" w:type="dxa"/>
                </w:tcPr>
                <w:p>
                  <w:pPr>
                    <w:spacing w:before="40" w:after="40" w:line="276" w:lineRule="auto"/>
                    <w:jc w:val="left"/>
                  </w:pPr>
                  <w:r>
                    <w:rPr>
                      <w:rFonts w:ascii="Calibri" w:hAnsi="Calibri"/>
                      <w:b w:val="0"/>
                      <w:sz w:val="18"/>
                    </w:rPr>
                    <w:t>Product backlog, DoD &amp; lifecycle plan</w:t>
                  </w:r>
                </w:p>
              </w:tc>
            </w:tr>
            <w:tr>
              <w:trPr>
                <w:cantSplit/>
              </w:trPr>
              <w:tc>
                <w:tcPr>
                  <w:tcW w:w="1900" w:type="dxa"/>
                </w:tcPr>
                <w:p>
                  <w:pPr>
                    <w:spacing w:before="40" w:after="40" w:line="276" w:lineRule="auto"/>
                    <w:jc w:val="left"/>
                  </w:pPr>
                  <w:r>
                    <w:rPr>
                      <w:rFonts w:ascii="Calibri" w:hAnsi="Calibri"/>
                      <w:b/>
                      <w:sz w:val="18"/>
                    </w:rPr>
                    <w:t>Task 3: Architecture &amp; Setup</w:t>
                  </w:r>
                </w:p>
              </w:tc>
              <w:tc>
                <w:tcPr>
                  <w:tcW w:w="1800" w:type="dxa"/>
                </w:tcPr>
                <w:p>
                  <w:pPr>
                    <w:spacing w:before="40" w:after="40" w:line="276" w:lineRule="auto"/>
                    <w:jc w:val="left"/>
                  </w:pPr>
                  <w:r>
                    <w:rPr>
                      <w:rFonts w:ascii="Calibri" w:hAnsi="Calibri"/>
                      <w:b w:val="0"/>
                      <w:sz w:val="18"/>
                    </w:rPr>
                    <w:t>System Design &amp; SRS</w:t>
                  </w:r>
                </w:p>
              </w:tc>
              <w:tc>
                <w:tcPr>
                  <w:tcW w:w="2000" w:type="dxa"/>
                </w:tcPr>
                <w:p>
                  <w:pPr>
                    <w:spacing w:before="40" w:after="40" w:line="276" w:lineRule="auto"/>
                    <w:jc w:val="left"/>
                  </w:pPr>
                  <w:r>
                    <w:rPr>
                      <w:rFonts w:ascii="Calibri" w:hAnsi="Calibri"/>
                      <w:b w:val="0"/>
                      <w:sz w:val="18"/>
                    </w:rPr>
                    <w:t>Spring Boot 3.3.4, H2, Maven</w:t>
                  </w:r>
                </w:p>
              </w:tc>
              <w:tc>
                <w:tcPr>
                  <w:tcW w:w="2200" w:type="dxa"/>
                </w:tcPr>
                <w:p>
                  <w:pPr>
                    <w:spacing w:before="40" w:after="40" w:line="276" w:lineRule="auto"/>
                    <w:jc w:val="left"/>
                  </w:pPr>
                  <w:r>
                    <w:rPr>
                      <w:rFonts w:ascii="Calibri" w:hAnsi="Calibri"/>
                      <w:b w:val="0"/>
                      <w:sz w:val="18"/>
                    </w:rPr>
                    <w:t>Architecture, use-case &amp; API baseline</w:t>
                  </w:r>
                </w:p>
              </w:tc>
            </w:tr>
            <w:tr>
              <w:trPr>
                <w:cantSplit/>
              </w:trPr>
              <w:tc>
                <w:tcPr>
                  <w:tcW w:w="1900" w:type="dxa"/>
                </w:tcPr>
                <w:p>
                  <w:pPr>
                    <w:spacing w:before="40" w:after="40" w:line="276" w:lineRule="auto"/>
                    <w:jc w:val="left"/>
                  </w:pPr>
                  <w:r>
                    <w:rPr>
                      <w:rFonts w:ascii="Calibri" w:hAnsi="Calibri"/>
                      <w:b/>
                      <w:sz w:val="18"/>
                    </w:rPr>
                    <w:t>Task 4: Git Repository Init</w:t>
                  </w:r>
                </w:p>
              </w:tc>
              <w:tc>
                <w:tcPr>
                  <w:tcW w:w="1800" w:type="dxa"/>
                </w:tcPr>
                <w:p>
                  <w:pPr>
                    <w:spacing w:before="40" w:after="40" w:line="276" w:lineRule="auto"/>
                    <w:jc w:val="left"/>
                  </w:pPr>
                  <w:r>
                    <w:rPr>
                      <w:rFonts w:ascii="Calibri" w:hAnsi="Calibri"/>
                      <w:b w:val="0"/>
                      <w:sz w:val="18"/>
                    </w:rPr>
                    <w:t>Version Control System</w:t>
                  </w:r>
                </w:p>
              </w:tc>
              <w:tc>
                <w:tcPr>
                  <w:tcW w:w="2000" w:type="dxa"/>
                </w:tcPr>
                <w:p>
                  <w:pPr>
                    <w:spacing w:before="40" w:after="40" w:line="276" w:lineRule="auto"/>
                    <w:jc w:val="left"/>
                  </w:pPr>
                  <w:r>
                    <w:rPr>
                      <w:rFonts w:ascii="Calibri" w:hAnsi="Calibri"/>
                      <w:b w:val="0"/>
                      <w:sz w:val="18"/>
                    </w:rPr>
                    <w:t>Git 2.45+, GitHub Cloud SCM</w:t>
                  </w:r>
                </w:p>
              </w:tc>
              <w:tc>
                <w:tcPr>
                  <w:tcW w:w="2200" w:type="dxa"/>
                </w:tcPr>
                <w:p>
                  <w:pPr>
                    <w:spacing w:before="40" w:after="40" w:line="276" w:lineRule="auto"/>
                    <w:jc w:val="left"/>
                  </w:pPr>
                  <w:r>
                    <w:rPr>
                      <w:rFonts w:ascii="Calibri" w:hAnsi="Calibri"/>
                      <w:b w:val="0"/>
                      <w:sz w:val="18"/>
                    </w:rPr>
                    <w:t>Repo URL, .gitignore, main &amp; dev branch</w:t>
                  </w:r>
                </w:p>
              </w:tc>
            </w:tr>
            <w:tr>
              <w:trPr>
                <w:cantSplit/>
              </w:trPr>
              <w:tc>
                <w:tcPr>
                  <w:tcW w:w="1900" w:type="dxa"/>
                </w:tcPr>
                <w:p>
                  <w:pPr>
                    <w:spacing w:before="40" w:after="40" w:line="276" w:lineRule="auto"/>
                    <w:jc w:val="left"/>
                  </w:pPr>
                  <w:r>
                    <w:rPr>
                      <w:rFonts w:ascii="Calibri" w:hAnsi="Calibri"/>
                      <w:b/>
                      <w:sz w:val="18"/>
                    </w:rPr>
                    <w:t>Task 5: Feature Branching</w:t>
                  </w:r>
                </w:p>
              </w:tc>
              <w:tc>
                <w:tcPr>
                  <w:tcW w:w="1800" w:type="dxa"/>
                </w:tcPr>
                <w:p>
                  <w:pPr>
                    <w:spacing w:before="40" w:after="40" w:line="276" w:lineRule="auto"/>
                    <w:jc w:val="left"/>
                  </w:pPr>
                  <w:r>
                    <w:rPr>
                      <w:rFonts w:ascii="Calibri" w:hAnsi="Calibri"/>
                      <w:b w:val="0"/>
                      <w:sz w:val="18"/>
                    </w:rPr>
                    <w:t>SCM Collaboration</w:t>
                  </w:r>
                </w:p>
              </w:tc>
              <w:tc>
                <w:tcPr>
                  <w:tcW w:w="2000" w:type="dxa"/>
                </w:tcPr>
                <w:p>
                  <w:pPr>
                    <w:spacing w:before="40" w:after="40" w:line="276" w:lineRule="auto"/>
                    <w:jc w:val="left"/>
                  </w:pPr>
                  <w:r>
                    <w:rPr>
                      <w:rFonts w:ascii="Calibri" w:hAnsi="Calibri"/>
                      <w:b w:val="0"/>
                      <w:sz w:val="18"/>
                    </w:rPr>
                    <w:t>feature/review-ingestion, PR</w:t>
                  </w:r>
                </w:p>
              </w:tc>
              <w:tc>
                <w:tcPr>
                  <w:tcW w:w="2200" w:type="dxa"/>
                </w:tcPr>
                <w:p>
                  <w:pPr>
                    <w:spacing w:before="40" w:after="40" w:line="276" w:lineRule="auto"/>
                    <w:jc w:val="left"/>
                  </w:pPr>
                  <w:r>
                    <w:rPr>
                      <w:rFonts w:ascii="Calibri" w:hAnsi="Calibri"/>
                      <w:b w:val="0"/>
                      <w:sz w:val="18"/>
                    </w:rPr>
                    <w:t>Working ingestion form &amp; dev PR merge</w:t>
                  </w:r>
                </w:p>
              </w:tc>
            </w:tr>
            <w:tr>
              <w:trPr>
                <w:cantSplit/>
              </w:trPr>
              <w:tc>
                <w:tcPr>
                  <w:tcW w:w="1900" w:type="dxa"/>
                </w:tcPr>
                <w:p>
                  <w:pPr>
                    <w:spacing w:before="40" w:after="40" w:line="276" w:lineRule="auto"/>
                    <w:jc w:val="left"/>
                  </w:pPr>
                  <w:r>
                    <w:rPr>
                      <w:rFonts w:ascii="Calibri" w:hAnsi="Calibri"/>
                      <w:b/>
                      <w:sz w:val="18"/>
                    </w:rPr>
                    <w:t>Task 6: MVP Release &amp; Tag</w:t>
                  </w:r>
                </w:p>
              </w:tc>
              <w:tc>
                <w:tcPr>
                  <w:tcW w:w="1800" w:type="dxa"/>
                </w:tcPr>
                <w:p>
                  <w:pPr>
                    <w:spacing w:before="40" w:after="40" w:line="276" w:lineRule="auto"/>
                    <w:jc w:val="left"/>
                  </w:pPr>
                  <w:r>
                    <w:rPr>
                      <w:rFonts w:ascii="Calibri" w:hAnsi="Calibri"/>
                      <w:b w:val="0"/>
                      <w:sz w:val="18"/>
                    </w:rPr>
                    <w:t>Release Management</w:t>
                  </w:r>
                </w:p>
              </w:tc>
              <w:tc>
                <w:tcPr>
                  <w:tcW w:w="2000" w:type="dxa"/>
                </w:tcPr>
                <w:p>
                  <w:pPr>
                    <w:spacing w:before="40" w:after="40" w:line="276" w:lineRule="auto"/>
                    <w:jc w:val="left"/>
                  </w:pPr>
                  <w:r>
                    <w:rPr>
                      <w:rFonts w:ascii="Calibri" w:hAnsi="Calibri"/>
                      <w:b w:val="0"/>
                      <w:sz w:val="18"/>
                    </w:rPr>
                    <w:t>Git Tagging, Conflict Merge</w:t>
                  </w:r>
                </w:p>
              </w:tc>
              <w:tc>
                <w:tcPr>
                  <w:tcW w:w="2200" w:type="dxa"/>
                </w:tcPr>
                <w:p>
                  <w:pPr>
                    <w:spacing w:before="40" w:after="40" w:line="276" w:lineRule="auto"/>
                    <w:jc w:val="left"/>
                  </w:pPr>
                  <w:r>
                    <w:rPr>
                      <w:rFonts w:ascii="Calibri" w:hAnsi="Calibri"/>
                      <w:b w:val="0"/>
                      <w:sz w:val="18"/>
                    </w:rPr>
                    <w:t>5 MVP functions, conflict resolved, v1.0.0</w:t>
                  </w:r>
                </w:p>
              </w:tc>
            </w:tr>
            <w:tr>
              <w:trPr>
                <w:cantSplit/>
              </w:trPr>
              <w:tc>
                <w:tcPr>
                  <w:tcW w:w="1900" w:type="dxa"/>
                </w:tcPr>
                <w:p>
                  <w:pPr>
                    <w:spacing w:before="40" w:after="40" w:line="276" w:lineRule="auto"/>
                    <w:jc w:val="left"/>
                  </w:pPr>
                  <w:r>
                    <w:rPr>
                      <w:rFonts w:ascii="Calibri" w:hAnsi="Calibri"/>
                      <w:b/>
                      <w:sz w:val="18"/>
                    </w:rPr>
                    <w:t>Task 7: Jenkins Installation</w:t>
                  </w:r>
                </w:p>
              </w:tc>
              <w:tc>
                <w:tcPr>
                  <w:tcW w:w="1800" w:type="dxa"/>
                </w:tcPr>
                <w:p>
                  <w:pPr>
                    <w:spacing w:before="40" w:after="40" w:line="276" w:lineRule="auto"/>
                    <w:jc w:val="left"/>
                  </w:pPr>
                  <w:r>
                    <w:rPr>
                      <w:rFonts w:ascii="Calibri" w:hAnsi="Calibri"/>
                      <w:b w:val="0"/>
                      <w:sz w:val="18"/>
                    </w:rPr>
                    <w:t>Continuous Integration (CI)</w:t>
                  </w:r>
                </w:p>
              </w:tc>
              <w:tc>
                <w:tcPr>
                  <w:tcW w:w="2000" w:type="dxa"/>
                </w:tcPr>
                <w:p>
                  <w:pPr>
                    <w:spacing w:before="40" w:after="40" w:line="276" w:lineRule="auto"/>
                    <w:jc w:val="left"/>
                  </w:pPr>
                  <w:r>
                    <w:rPr>
                      <w:rFonts w:ascii="Calibri" w:hAnsi="Calibri"/>
                      <w:b w:val="0"/>
                      <w:sz w:val="18"/>
                    </w:rPr>
                    <w:t>Jenkins 2.440+, Maven Wrapper</w:t>
                  </w:r>
                </w:p>
              </w:tc>
              <w:tc>
                <w:tcPr>
                  <w:tcW w:w="2200" w:type="dxa"/>
                </w:tcPr>
                <w:p>
                  <w:pPr>
                    <w:spacing w:before="40" w:after="40" w:line="276" w:lineRule="auto"/>
                    <w:jc w:val="left"/>
                  </w:pPr>
                  <w:r>
                    <w:rPr>
                      <w:rFonts w:ascii="Calibri" w:hAnsi="Calibri"/>
                      <w:b w:val="0"/>
                      <w:sz w:val="18"/>
                    </w:rPr>
                    <w:t>Automated poll SCM job &amp; JAR artifact</w:t>
                  </w:r>
                </w:p>
              </w:tc>
            </w:tr>
            <w:tr>
              <w:trPr>
                <w:cantSplit/>
              </w:trPr>
              <w:tc>
                <w:tcPr>
                  <w:tcW w:w="1900" w:type="dxa"/>
                </w:tcPr>
                <w:p>
                  <w:pPr>
                    <w:spacing w:before="40" w:after="40" w:line="276" w:lineRule="auto"/>
                    <w:jc w:val="left"/>
                  </w:pPr>
                  <w:r>
                    <w:rPr>
                      <w:rFonts w:ascii="Calibri" w:hAnsi="Calibri"/>
                      <w:b/>
                      <w:sz w:val="18"/>
                    </w:rPr>
                    <w:t>Task 8: Pipeline as Code</w:t>
                  </w:r>
                </w:p>
              </w:tc>
              <w:tc>
                <w:tcPr>
                  <w:tcW w:w="1800" w:type="dxa"/>
                </w:tcPr>
                <w:p>
                  <w:pPr>
                    <w:spacing w:before="40" w:after="40" w:line="276" w:lineRule="auto"/>
                    <w:jc w:val="left"/>
                  </w:pPr>
                  <w:r>
                    <w:rPr>
                      <w:rFonts w:ascii="Calibri" w:hAnsi="Calibri"/>
                      <w:b w:val="0"/>
                      <w:sz w:val="18"/>
                    </w:rPr>
                    <w:t>CI/CD Orchestration</w:t>
                  </w:r>
                </w:p>
              </w:tc>
              <w:tc>
                <w:tcPr>
                  <w:tcW w:w="2000" w:type="dxa"/>
                </w:tcPr>
                <w:p>
                  <w:pPr>
                    <w:spacing w:before="40" w:after="40" w:line="276" w:lineRule="auto"/>
                    <w:jc w:val="left"/>
                  </w:pPr>
                  <w:r>
                    <w:rPr>
                      <w:rFonts w:ascii="Calibri" w:hAnsi="Calibri"/>
                      <w:b w:val="0"/>
                      <w:sz w:val="18"/>
                    </w:rPr>
                    <w:t>Jenkinsfile, Declarative Syntax</w:t>
                  </w:r>
                </w:p>
              </w:tc>
              <w:tc>
                <w:tcPr>
                  <w:tcW w:w="2200" w:type="dxa"/>
                </w:tcPr>
                <w:p>
                  <w:pPr>
                    <w:spacing w:before="40" w:after="40" w:line="276" w:lineRule="auto"/>
                    <w:jc w:val="left"/>
                  </w:pPr>
                  <w:r>
                    <w:rPr>
                      <w:rFonts w:ascii="Calibri" w:hAnsi="Calibri"/>
                      <w:b w:val="0"/>
                      <w:sz w:val="18"/>
                    </w:rPr>
                    <w:t>Multi-stage pipeline &amp; multi-env param</w:t>
                  </w:r>
                </w:p>
              </w:tc>
            </w:tr>
            <w:tr>
              <w:trPr>
                <w:cantSplit/>
              </w:trPr>
              <w:tc>
                <w:tcPr>
                  <w:tcW w:w="1900" w:type="dxa"/>
                </w:tcPr>
                <w:p>
                  <w:pPr>
                    <w:spacing w:before="40" w:after="40" w:line="276" w:lineRule="auto"/>
                    <w:jc w:val="left"/>
                  </w:pPr>
                  <w:r>
                    <w:rPr>
                      <w:rFonts w:ascii="Calibri" w:hAnsi="Calibri"/>
                      <w:b/>
                      <w:sz w:val="18"/>
                    </w:rPr>
                    <w:t>Task 9: Selenium Test Design</w:t>
                  </w:r>
                </w:p>
              </w:tc>
              <w:tc>
                <w:tcPr>
                  <w:tcW w:w="1800" w:type="dxa"/>
                </w:tcPr>
                <w:p>
                  <w:pPr>
                    <w:spacing w:before="40" w:after="40" w:line="276" w:lineRule="auto"/>
                    <w:jc w:val="left"/>
                  </w:pPr>
                  <w:r>
                    <w:rPr>
                      <w:rFonts w:ascii="Calibri" w:hAnsi="Calibri"/>
                      <w:b w:val="0"/>
                      <w:sz w:val="18"/>
                    </w:rPr>
                    <w:t>Automated Quality Assurance</w:t>
                  </w:r>
                </w:p>
              </w:tc>
              <w:tc>
                <w:tcPr>
                  <w:tcW w:w="2000" w:type="dxa"/>
                </w:tcPr>
                <w:p>
                  <w:pPr>
                    <w:spacing w:before="40" w:after="40" w:line="276" w:lineRule="auto"/>
                    <w:jc w:val="left"/>
                  </w:pPr>
                  <w:r>
                    <w:rPr>
                      <w:rFonts w:ascii="Calibri" w:hAnsi="Calibri"/>
                      <w:b w:val="0"/>
                      <w:sz w:val="18"/>
                    </w:rPr>
                    <w:t>Selenium 4.x, Headless Chrome</w:t>
                  </w:r>
                </w:p>
              </w:tc>
              <w:tc>
                <w:tcPr>
                  <w:tcW w:w="2200" w:type="dxa"/>
                </w:tcPr>
                <w:p>
                  <w:pPr>
                    <w:spacing w:before="40" w:after="40" w:line="276" w:lineRule="auto"/>
                    <w:jc w:val="left"/>
                  </w:pPr>
                  <w:r>
                    <w:rPr>
                      <w:rFonts w:ascii="Calibri" w:hAnsi="Calibri"/>
                      <w:b w:val="0"/>
                      <w:sz w:val="18"/>
                    </w:rPr>
                    <w:t>5 Journeys &amp; failure screenshot hook</w:t>
                  </w:r>
                </w:p>
              </w:tc>
            </w:tr>
            <w:tr>
              <w:trPr>
                <w:cantSplit/>
              </w:trPr>
              <w:tc>
                <w:tcPr>
                  <w:tcW w:w="1900" w:type="dxa"/>
                </w:tcPr>
                <w:p>
                  <w:pPr>
                    <w:spacing w:before="40" w:after="40" w:line="276" w:lineRule="auto"/>
                    <w:jc w:val="left"/>
                  </w:pPr>
                  <w:r>
                    <w:rPr>
                      <w:rFonts w:ascii="Calibri" w:hAnsi="Calibri"/>
                      <w:b/>
                      <w:sz w:val="18"/>
                    </w:rPr>
                    <w:t>Task 10: Continuous Testing</w:t>
                  </w:r>
                </w:p>
              </w:tc>
              <w:tc>
                <w:tcPr>
                  <w:tcW w:w="1800" w:type="dxa"/>
                </w:tcPr>
                <w:p>
                  <w:pPr>
                    <w:spacing w:before="40" w:after="40" w:line="276" w:lineRule="auto"/>
                    <w:jc w:val="left"/>
                  </w:pPr>
                  <w:r>
                    <w:rPr>
                      <w:rFonts w:ascii="Calibri" w:hAnsi="Calibri"/>
                      <w:b w:val="0"/>
                      <w:sz w:val="18"/>
                    </w:rPr>
                    <w:t>Quality Gate &amp; Failure Trap</w:t>
                  </w:r>
                </w:p>
              </w:tc>
              <w:tc>
                <w:tcPr>
                  <w:tcW w:w="2000" w:type="dxa"/>
                </w:tcPr>
                <w:p>
                  <w:pPr>
                    <w:spacing w:before="40" w:after="40" w:line="276" w:lineRule="auto"/>
                    <w:jc w:val="left"/>
                  </w:pPr>
                  <w:r>
                    <w:rPr>
                      <w:rFonts w:ascii="Calibri" w:hAnsi="Calibri"/>
                      <w:b w:val="0"/>
                      <w:sz w:val="18"/>
                    </w:rPr>
                    <w:t>Jenkins Surefire, Defect Gate</w:t>
                  </w:r>
                </w:p>
              </w:tc>
              <w:tc>
                <w:tcPr>
                  <w:tcW w:w="2200" w:type="dxa"/>
                </w:tcPr>
                <w:p>
                  <w:pPr>
                    <w:spacing w:before="40" w:after="40" w:line="276" w:lineRule="auto"/>
                    <w:jc w:val="left"/>
                  </w:pPr>
                  <w:r>
                    <w:rPr>
                      <w:rFonts w:ascii="Calibri" w:hAnsi="Calibri"/>
                      <w:b w:val="0"/>
                      <w:sz w:val="18"/>
                    </w:rPr>
                    <w:t>Pipeline abort upon bug, rerun pass</w:t>
                  </w:r>
                </w:p>
              </w:tc>
            </w:tr>
            <w:tr>
              <w:trPr>
                <w:cantSplit/>
              </w:trPr>
              <w:tc>
                <w:tcPr>
                  <w:tcW w:w="1900" w:type="dxa"/>
                </w:tcPr>
                <w:p>
                  <w:pPr>
                    <w:spacing w:before="40" w:after="40" w:line="276" w:lineRule="auto"/>
                    <w:jc w:val="left"/>
                  </w:pPr>
                  <w:r>
                    <w:rPr>
                      <w:rFonts w:ascii="Calibri" w:hAnsi="Calibri"/>
                      <w:b/>
                      <w:sz w:val="18"/>
                    </w:rPr>
                    <w:t>Task 11: Docker Container Lifecycle</w:t>
                  </w:r>
                </w:p>
              </w:tc>
              <w:tc>
                <w:tcPr>
                  <w:tcW w:w="1800" w:type="dxa"/>
                </w:tcPr>
                <w:p>
                  <w:pPr>
                    <w:spacing w:before="40" w:after="40" w:line="276" w:lineRule="auto"/>
                    <w:jc w:val="left"/>
                  </w:pPr>
                  <w:r>
                    <w:rPr>
                      <w:rFonts w:ascii="Calibri" w:hAnsi="Calibri"/>
                      <w:b w:val="0"/>
                      <w:sz w:val="18"/>
                    </w:rPr>
                    <w:t>Containerization &amp; Security</w:t>
                  </w:r>
                </w:p>
              </w:tc>
              <w:tc>
                <w:tcPr>
                  <w:tcW w:w="2000" w:type="dxa"/>
                </w:tcPr>
                <w:p>
                  <w:pPr>
                    <w:spacing w:before="40" w:after="40" w:line="276" w:lineRule="auto"/>
                    <w:jc w:val="left"/>
                  </w:pPr>
                  <w:r>
                    <w:rPr>
                      <w:rFonts w:ascii="Calibri" w:hAnsi="Calibri"/>
                      <w:b w:val="0"/>
                      <w:sz w:val="18"/>
                    </w:rPr>
                    <w:t>Dockerfile, Temurin Alpine JRE</w:t>
                  </w:r>
                </w:p>
              </w:tc>
              <w:tc>
                <w:tcPr>
                  <w:tcW w:w="2200" w:type="dxa"/>
                </w:tcPr>
                <w:p>
                  <w:pPr>
                    <w:spacing w:before="40" w:after="40" w:line="276" w:lineRule="auto"/>
                    <w:jc w:val="left"/>
                  </w:pPr>
                  <w:r>
                    <w:rPr>
                      <w:rFonts w:ascii="Calibri" w:hAnsi="Calibri"/>
                      <w:b w:val="0"/>
                      <w:sz w:val="18"/>
                    </w:rPr>
                    <w:t>Multi-stage build (242 MB), UID 1000</w:t>
                  </w:r>
                </w:p>
              </w:tc>
            </w:tr>
            <w:tr>
              <w:trPr>
                <w:cantSplit/>
              </w:trPr>
              <w:tc>
                <w:tcPr>
                  <w:tcW w:w="1900" w:type="dxa"/>
                </w:tcPr>
                <w:p>
                  <w:pPr>
                    <w:spacing w:before="40" w:after="40" w:line="276" w:lineRule="auto"/>
                    <w:jc w:val="left"/>
                  </w:pPr>
                  <w:r>
                    <w:rPr>
                      <w:rFonts w:ascii="Calibri" w:hAnsi="Calibri"/>
                      <w:b/>
                      <w:sz w:val="18"/>
                    </w:rPr>
                    <w:t>Task 12: Continuous Deployment</w:t>
                  </w:r>
                </w:p>
              </w:tc>
              <w:tc>
                <w:tcPr>
                  <w:tcW w:w="1800" w:type="dxa"/>
                </w:tcPr>
                <w:p>
                  <w:pPr>
                    <w:spacing w:before="40" w:after="40" w:line="276" w:lineRule="auto"/>
                    <w:jc w:val="left"/>
                  </w:pPr>
                  <w:r>
                    <w:rPr>
                      <w:rFonts w:ascii="Calibri" w:hAnsi="Calibri"/>
                      <w:b w:val="0"/>
                      <w:sz w:val="18"/>
                    </w:rPr>
                    <w:t>Container Delivery (CD)</w:t>
                  </w:r>
                </w:p>
              </w:tc>
              <w:tc>
                <w:tcPr>
                  <w:tcW w:w="2000" w:type="dxa"/>
                </w:tcPr>
                <w:p>
                  <w:pPr>
                    <w:spacing w:before="40" w:after="40" w:line="276" w:lineRule="auto"/>
                    <w:jc w:val="left"/>
                  </w:pPr>
                  <w:r>
                    <w:rPr>
                      <w:rFonts w:ascii="Calibri" w:hAnsi="Calibri"/>
                      <w:b w:val="0"/>
                      <w:sz w:val="18"/>
                    </w:rPr>
                    <w:t>Docker Hub, Local Registry</w:t>
                  </w:r>
                </w:p>
              </w:tc>
              <w:tc>
                <w:tcPr>
                  <w:tcW w:w="2200" w:type="dxa"/>
                </w:tcPr>
                <w:p>
                  <w:pPr>
                    <w:spacing w:before="40" w:after="40" w:line="276" w:lineRule="auto"/>
                    <w:jc w:val="left"/>
                  </w:pPr>
                  <w:r>
                    <w:rPr>
                      <w:rFonts w:ascii="Calibri" w:hAnsi="Calibri"/>
                      <w:b w:val="0"/>
                      <w:sz w:val="18"/>
                    </w:rPr>
                    <w:t>Auto-tag crmp:${BUILD_NUMBER} &amp; deploy</w:t>
                  </w:r>
                </w:p>
              </w:tc>
            </w:tr>
            <w:tr>
              <w:trPr>
                <w:cantSplit/>
              </w:trPr>
              <w:tc>
                <w:tcPr>
                  <w:tcW w:w="1900" w:type="dxa"/>
                </w:tcPr>
                <w:p>
                  <w:pPr>
                    <w:spacing w:before="40" w:after="40" w:line="276" w:lineRule="auto"/>
                    <w:jc w:val="left"/>
                  </w:pPr>
                  <w:r>
                    <w:rPr>
                      <w:rFonts w:ascii="Calibri" w:hAnsi="Calibri"/>
                      <w:b/>
                      <w:sz w:val="18"/>
                    </w:rPr>
                    <w:t>Task 13: Ansible Prerequisites</w:t>
                  </w:r>
                </w:p>
              </w:tc>
              <w:tc>
                <w:tcPr>
                  <w:tcW w:w="1800" w:type="dxa"/>
                </w:tcPr>
                <w:p>
                  <w:pPr>
                    <w:spacing w:before="40" w:after="40" w:line="276" w:lineRule="auto"/>
                    <w:jc w:val="left"/>
                  </w:pPr>
                  <w:r>
                    <w:rPr>
                      <w:rFonts w:ascii="Calibri" w:hAnsi="Calibri"/>
                      <w:b w:val="0"/>
                      <w:sz w:val="18"/>
                    </w:rPr>
                    <w:t>Configuration Management</w:t>
                  </w:r>
                </w:p>
              </w:tc>
              <w:tc>
                <w:tcPr>
                  <w:tcW w:w="2000" w:type="dxa"/>
                </w:tcPr>
                <w:p>
                  <w:pPr>
                    <w:spacing w:before="40" w:after="40" w:line="276" w:lineRule="auto"/>
                    <w:jc w:val="left"/>
                  </w:pPr>
                  <w:r>
                    <w:rPr>
                      <w:rFonts w:ascii="Calibri" w:hAnsi="Calibri"/>
                      <w:b w:val="0"/>
                      <w:sz w:val="18"/>
                    </w:rPr>
                    <w:t>Ansible 2.16.5, hosts.ini, YAML</w:t>
                  </w:r>
                </w:p>
              </w:tc>
              <w:tc>
                <w:tcPr>
                  <w:tcW w:w="2200" w:type="dxa"/>
                </w:tcPr>
                <w:p>
                  <w:pPr>
                    <w:spacing w:before="40" w:after="40" w:line="276" w:lineRule="auto"/>
                    <w:jc w:val="left"/>
                  </w:pPr>
                  <w:r>
                    <w:rPr>
                      <w:rFonts w:ascii="Calibri" w:hAnsi="Calibri"/>
                      <w:b w:val="0"/>
                      <w:sz w:val="18"/>
                    </w:rPr>
                    <w:t>Inventory, /opt/review-app layout &amp; UFW</w:t>
                  </w:r>
                </w:p>
              </w:tc>
            </w:tr>
            <w:tr>
              <w:trPr>
                <w:cantSplit/>
              </w:trPr>
              <w:tc>
                <w:tcPr>
                  <w:tcW w:w="1900" w:type="dxa"/>
                </w:tcPr>
                <w:p>
                  <w:pPr>
                    <w:spacing w:before="40" w:after="40" w:line="276" w:lineRule="auto"/>
                    <w:jc w:val="left"/>
                  </w:pPr>
                  <w:r>
                    <w:rPr>
                      <w:rFonts w:ascii="Calibri" w:hAnsi="Calibri"/>
                      <w:b/>
                      <w:sz w:val="18"/>
                    </w:rPr>
                    <w:t>Task 14: Idempotency &amp; Rollback</w:t>
                  </w:r>
                </w:p>
              </w:tc>
              <w:tc>
                <w:tcPr>
                  <w:tcW w:w="1800" w:type="dxa"/>
                </w:tcPr>
                <w:p>
                  <w:pPr>
                    <w:spacing w:before="40" w:after="40" w:line="276" w:lineRule="auto"/>
                    <w:jc w:val="left"/>
                  </w:pPr>
                  <w:r>
                    <w:rPr>
                      <w:rFonts w:ascii="Calibri" w:hAnsi="Calibri"/>
                      <w:b w:val="0"/>
                      <w:sz w:val="18"/>
                    </w:rPr>
                    <w:t>Site Reliability Engineering</w:t>
                  </w:r>
                </w:p>
              </w:tc>
              <w:tc>
                <w:tcPr>
                  <w:tcW w:w="2000" w:type="dxa"/>
                </w:tcPr>
                <w:p>
                  <w:pPr>
                    <w:spacing w:before="40" w:after="40" w:line="276" w:lineRule="auto"/>
                    <w:jc w:val="left"/>
                  </w:pPr>
                  <w:r>
                    <w:rPr>
                      <w:rFonts w:ascii="Calibri" w:hAnsi="Calibri"/>
                      <w:b w:val="0"/>
                      <w:sz w:val="18"/>
                    </w:rPr>
                    <w:t>Ansible Playbook, Actuator, Curl</w:t>
                  </w:r>
                </w:p>
              </w:tc>
              <w:tc>
                <w:tcPr>
                  <w:tcW w:w="2200" w:type="dxa"/>
                </w:tcPr>
                <w:p>
                  <w:pPr>
                    <w:spacing w:before="40" w:after="40" w:line="276" w:lineRule="auto"/>
                    <w:jc w:val="left"/>
                  </w:pPr>
                  <w:r>
                    <w:rPr>
                      <w:rFonts w:ascii="Calibri" w:hAnsi="Calibri"/>
                      <w:b w:val="0"/>
                      <w:sz w:val="18"/>
                    </w:rPr>
                    <w:t>Strict idempotency (changed=0) &amp; rollback</w:t>
                  </w:r>
                </w:p>
              </w:tc>
            </w:tr>
            <w:tr>
              <w:trPr>
                <w:cantSplit/>
              </w:trPr>
              <w:tc>
                <w:tcPr>
                  <w:tcW w:w="1900" w:type="dxa"/>
                </w:tcPr>
                <w:p>
                  <w:pPr>
                    <w:spacing w:before="40" w:after="40" w:line="276" w:lineRule="auto"/>
                    <w:jc w:val="left"/>
                  </w:pPr>
                  <w:r>
                    <w:rPr>
                      <w:rFonts w:ascii="Calibri" w:hAnsi="Calibri"/>
                      <w:b/>
                      <w:sz w:val="18"/>
                    </w:rPr>
                    <w:t>Task 15: Master End-to-End Release</w:t>
                  </w:r>
                </w:p>
              </w:tc>
              <w:tc>
                <w:tcPr>
                  <w:tcW w:w="1800" w:type="dxa"/>
                </w:tcPr>
                <w:p>
                  <w:pPr>
                    <w:spacing w:before="40" w:after="40" w:line="276" w:lineRule="auto"/>
                    <w:jc w:val="left"/>
                  </w:pPr>
                  <w:r>
                    <w:rPr>
                      <w:rFonts w:ascii="Calibri" w:hAnsi="Calibri"/>
                      <w:b w:val="0"/>
                      <w:sz w:val="18"/>
                    </w:rPr>
                    <w:t>Master Capstone &amp; Viva</w:t>
                  </w:r>
                </w:p>
              </w:tc>
              <w:tc>
                <w:tcPr>
                  <w:tcW w:w="2000" w:type="dxa"/>
                </w:tcPr>
                <w:p>
                  <w:pPr>
                    <w:spacing w:before="40" w:after="40" w:line="276" w:lineRule="auto"/>
                    <w:jc w:val="left"/>
                  </w:pPr>
                  <w:r>
                    <w:rPr>
                      <w:rFonts w:ascii="Calibri" w:hAnsi="Calibri"/>
                      <w:b w:val="0"/>
                      <w:sz w:val="18"/>
                    </w:rPr>
                    <w:t>Python E2E Runner, Full Suite</w:t>
                  </w:r>
                </w:p>
              </w:tc>
              <w:tc>
                <w:tcPr>
                  <w:tcW w:w="2200" w:type="dxa"/>
                </w:tcPr>
                <w:p>
                  <w:pPr>
                    <w:spacing w:before="40" w:after="40" w:line="276" w:lineRule="auto"/>
                    <w:jc w:val="left"/>
                  </w:pPr>
                  <w:r>
                    <w:rPr>
                      <w:rFonts w:ascii="Calibri" w:hAnsi="Calibri"/>
                      <w:b w:val="0"/>
                      <w:sz w:val="18"/>
                    </w:rPr>
                    <w:t>All 8 stages verified, 0 defects, Viva</w:t>
                  </w:r>
                </w:p>
              </w:tc>
            </w:tr>
          </w:tbl>
          <w:p/>
          <w:p>
            <w:pPr>
              <w:spacing w:after="80"/>
            </w:pPr>
          </w:p>
          <w:p>
            <w:pPr>
              <w:keepNext/>
              <w:spacing w:before="120" w:after="40"/>
              <w:jc w:val="center"/>
            </w:pPr>
            <w:r>
              <w:drawing>
                <wp:inline xmlns:a="http://schemas.openxmlformats.org/drawingml/2006/main" xmlns:pic="http://schemas.openxmlformats.org/drawingml/2006/picture">
                  <wp:extent cx="5120640" cy="3238695"/>
                  <wp:docPr id="2" name="Picture 2"/>
                  <wp:cNvGraphicFramePr>
                    <a:graphicFrameLocks noChangeAspect="1"/>
                  </wp:cNvGraphicFramePr>
                  <a:graphic>
                    <a:graphicData uri="http://schemas.openxmlformats.org/drawingml/2006/picture">
                      <pic:pic>
                        <pic:nvPicPr>
                          <pic:cNvPr id="0" name="figure_15_1_end_to_end_devops_architecture.png"/>
                          <pic:cNvPicPr/>
                        </pic:nvPicPr>
                        <pic:blipFill>
                          <a:blip r:embed="rId23"/>
                          <a:stretch>
                            <a:fillRect/>
                          </a:stretch>
                        </pic:blipFill>
                        <pic:spPr>
                          <a:xfrm>
                            <a:off x="0" y="0"/>
                            <a:ext cx="5120640" cy="3238695"/>
                          </a:xfrm>
                          <a:prstGeom prst="rect"/>
                        </pic:spPr>
                      </pic:pic>
                    </a:graphicData>
                  </a:graphic>
                </wp:inline>
              </w:drawing>
            </w:r>
          </w:p>
          <w:p>
            <w:pPr>
              <w:keepNext/>
              <w:spacing w:before="40" w:after="160"/>
              <w:jc w:val="center"/>
            </w:pPr>
            <w:r>
              <w:rPr>
                <w:rFonts w:ascii="Calibri" w:hAnsi="Calibri"/>
                <w:b/>
                <w:sz w:val="20"/>
              </w:rPr>
              <w:t>Figure 15.1: Master End-to-End DevOps Lifecycle Architecture (Tasks 1 to 15 Unified Pipeline)</w:t>
            </w:r>
          </w:p>
          <w:p>
            <w:pPr>
              <w:keepNext/>
              <w:spacing w:before="160" w:after="60" w:line="276" w:lineRule="auto"/>
            </w:pPr>
            <w:r>
              <w:rPr>
                <w:rFonts w:ascii="Calibri" w:hAnsi="Calibri"/>
                <w:b/>
                <w:sz w:val="24"/>
              </w:rPr>
              <w:t>2. Master DevOps Workflow Orchestration &amp; Terminal Execution</w:t>
            </w:r>
          </w:p>
          <w:p>
            <w:pPr>
              <w:spacing w:before="20" w:after="60" w:line="276" w:lineRule="auto"/>
            </w:pPr>
            <w:r>
              <w:rPr>
                <w:rFonts w:ascii="Calibri" w:hAnsi="Calibri"/>
                <w:sz w:val="22"/>
              </w:rPr>
              <w:t>To ensure 100% deterministic reproducibility during academic evaluations and technical audit viva voce examinations, an automated master workflow runner script was engineered at scripts/run_e2e_devops_workflow.py. This orchestration script sequentially triggers all eight critical pipeline stages in real time:</w:t>
            </w:r>
          </w:p>
          <w:p>
            <w:pPr>
              <w:spacing w:before="20" w:after="60" w:line="276" w:lineRule="auto"/>
            </w:pPr>
            <w:r>
              <w:rPr>
                <w:rFonts w:ascii="Calibri" w:hAnsi="Calibri"/>
                <w:b/>
                <w:sz w:val="22"/>
              </w:rPr>
              <w:t>Stage 1: Git Repository &amp; Release Audit -</w:t>
            </w:r>
            <w:r>
              <w:rPr>
                <w:rFonts w:ascii="Calibri" w:hAnsi="Calibri"/>
                <w:sz w:val="22"/>
              </w:rPr>
              <w:t xml:space="preserve"> Inspects branch alignment (dev / main), commit hash integrity, working directory cleanliness, and release semantic tags (v1.0.0).</w:t>
            </w:r>
          </w:p>
          <w:p>
            <w:pPr>
              <w:spacing w:before="20" w:after="60" w:line="276" w:lineRule="auto"/>
            </w:pPr>
            <w:r>
              <w:rPr>
                <w:rFonts w:ascii="Calibri" w:hAnsi="Calibri"/>
                <w:b/>
                <w:sz w:val="22"/>
              </w:rPr>
              <w:t>Stage 2: Continuous Quality Gate -</w:t>
            </w:r>
            <w:r>
              <w:rPr>
                <w:rFonts w:ascii="Calibri" w:hAnsi="Calibri"/>
                <w:sz w:val="22"/>
              </w:rPr>
              <w:t xml:space="preserve"> Executes mvn test across all 15 test cases (7 MockMvc controller tests, 3 unit triage tests, and 5 headless Selenium WebDriver journeys). A non-zero return code halts the entire execution immediately.</w:t>
            </w:r>
          </w:p>
          <w:p>
            <w:pPr>
              <w:spacing w:before="20" w:after="60" w:line="276" w:lineRule="auto"/>
            </w:pPr>
            <w:r>
              <w:rPr>
                <w:rFonts w:ascii="Calibri" w:hAnsi="Calibri"/>
                <w:b/>
                <w:sz w:val="22"/>
              </w:rPr>
              <w:t>Stage 3: Application Packaging -</w:t>
            </w:r>
            <w:r>
              <w:rPr>
                <w:rFonts w:ascii="Calibri" w:hAnsi="Calibri"/>
                <w:sz w:val="22"/>
              </w:rPr>
              <w:t xml:space="preserve"> Compiles the production executable archive (53.4 MB fat JAR) under target/customer-review-moderation-portal-1.0.0-SNAPSHOT.jar with embedded Tomcat and static assets.</w:t>
            </w:r>
          </w:p>
          <w:p>
            <w:pPr>
              <w:spacing w:before="20" w:after="60" w:line="276" w:lineRule="auto"/>
            </w:pPr>
            <w:r>
              <w:rPr>
                <w:rFonts w:ascii="Calibri" w:hAnsi="Calibri"/>
                <w:b/>
                <w:sz w:val="22"/>
              </w:rPr>
              <w:t>Stage 4: Docker Multi-Stage Build &amp; Tagging -</w:t>
            </w:r>
            <w:r>
              <w:rPr>
                <w:rFonts w:ascii="Calibri" w:hAnsi="Calibri"/>
                <w:sz w:val="22"/>
              </w:rPr>
              <w:t xml:space="preserve"> Builds the optimized, multi-stage Eclipse Temurin Alpine JRE 21 container image tagged crmp:1.0.0, crmp:latest, crmp:15, and docker.io/rushikeshgawade/crmp:1.0.0.</w:t>
            </w:r>
          </w:p>
          <w:p>
            <w:pPr>
              <w:spacing w:before="20" w:after="60" w:line="276" w:lineRule="auto"/>
            </w:pPr>
            <w:r>
              <w:rPr>
                <w:rFonts w:ascii="Calibri" w:hAnsi="Calibri"/>
                <w:b/>
                <w:sz w:val="22"/>
              </w:rPr>
              <w:t>Stage 5: Container Registry Distribution -</w:t>
            </w:r>
            <w:r>
              <w:rPr>
                <w:rFonts w:ascii="Calibri" w:hAnsi="Calibri"/>
                <w:sz w:val="22"/>
              </w:rPr>
              <w:t xml:space="preserve"> Authenticates against the remote Docker Hub registry and synchronizes image layers, blob hashes, and manifest digests.</w:t>
            </w:r>
          </w:p>
          <w:p>
            <w:pPr>
              <w:spacing w:before="20" w:after="60" w:line="276" w:lineRule="auto"/>
            </w:pPr>
            <w:r>
              <w:rPr>
                <w:rFonts w:ascii="Calibri" w:hAnsi="Calibri"/>
                <w:b/>
                <w:sz w:val="22"/>
              </w:rPr>
              <w:t>Stage 6: Ansible Provisioning &amp; Idempotency -</w:t>
            </w:r>
            <w:r>
              <w:rPr>
                <w:rFonts w:ascii="Calibri" w:hAnsi="Calibri"/>
                <w:sz w:val="22"/>
              </w:rPr>
              <w:t xml:space="preserve"> Tests target host reachability via Ansible ping and runs the declarative playbook playbook.yml to demonstrate strict idempotency (ok=11, changed=0, failed=0).</w:t>
            </w:r>
          </w:p>
          <w:p>
            <w:pPr>
              <w:spacing w:before="20" w:after="60" w:line="276" w:lineRule="auto"/>
            </w:pPr>
            <w:r>
              <w:rPr>
                <w:rFonts w:ascii="Calibri" w:hAnsi="Calibri"/>
                <w:b/>
                <w:sz w:val="22"/>
              </w:rPr>
              <w:t>Stage 7: Live Health Telemetry -</w:t>
            </w:r>
            <w:r>
              <w:rPr>
                <w:rFonts w:ascii="Calibri" w:hAnsi="Calibri"/>
                <w:sz w:val="22"/>
              </w:rPr>
              <w:t xml:space="preserve"> Probes the Spring Boot Actuator endpoint (GET /actuator/health) validating in-memory H2 database pool status, disk space thresholds, and overall service health (HTTP 200 UP).</w:t>
            </w:r>
          </w:p>
          <w:p>
            <w:pPr>
              <w:spacing w:before="20" w:after="60" w:line="276" w:lineRule="auto"/>
            </w:pPr>
            <w:r>
              <w:rPr>
                <w:rFonts w:ascii="Calibri" w:hAnsi="Calibri"/>
                <w:b/>
                <w:sz w:val="22"/>
              </w:rPr>
              <w:t>Stage 8: Disaster Recovery Rollback -</w:t>
            </w:r>
            <w:r>
              <w:rPr>
                <w:rFonts w:ascii="Calibri" w:hAnsi="Calibri"/>
                <w:sz w:val="22"/>
              </w:rPr>
              <w:t xml:space="preserve"> Simulates an emergency production recovery scenario by invoking rollback.yml, restoring prior stable release container crmp:v1.0.0 in 2.8 seconds.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800" w:type="dxa"/>
                  <w:shd w:fill="EAECEE"/>
                </w:tcPr>
                <w:p>
                  <w:pPr>
                    <w:spacing w:before="40" w:after="40" w:line="276" w:lineRule="auto"/>
                    <w:jc w:val="left"/>
                  </w:pPr>
                  <w:r>
                    <w:rPr>
                      <w:rFonts w:ascii="Calibri" w:hAnsi="Calibri"/>
                      <w:b/>
                      <w:sz w:val="19"/>
                    </w:rPr>
                    <w:t>Orchestration Stage</w:t>
                  </w:r>
                </w:p>
              </w:tc>
              <w:tc>
                <w:tcPr>
                  <w:tcW w:w="2400" w:type="dxa"/>
                  <w:shd w:fill="EAECEE"/>
                </w:tcPr>
                <w:p>
                  <w:pPr>
                    <w:spacing w:before="40" w:after="40" w:line="276" w:lineRule="auto"/>
                    <w:jc w:val="left"/>
                  </w:pPr>
                  <w:r>
                    <w:rPr>
                      <w:rFonts w:ascii="Calibri" w:hAnsi="Calibri"/>
                      <w:b/>
                      <w:sz w:val="19"/>
                    </w:rPr>
                    <w:t>Executed CLI Command / Module</w:t>
                  </w:r>
                </w:p>
              </w:tc>
              <w:tc>
                <w:tcPr>
                  <w:tcW w:w="2100" w:type="dxa"/>
                  <w:shd w:fill="EAECEE"/>
                </w:tcPr>
                <w:p>
                  <w:pPr>
                    <w:spacing w:before="40" w:after="40" w:line="276" w:lineRule="auto"/>
                    <w:jc w:val="left"/>
                  </w:pPr>
                  <w:r>
                    <w:rPr>
                      <w:rFonts w:ascii="Calibri" w:hAnsi="Calibri"/>
                      <w:b/>
                      <w:sz w:val="19"/>
                    </w:rPr>
                    <w:t>Empirical Execution Result</w:t>
                  </w:r>
                </w:p>
              </w:tc>
              <w:tc>
                <w:tcPr>
                  <w:tcW w:w="1600" w:type="dxa"/>
                  <w:shd w:fill="EAECEE"/>
                </w:tcPr>
                <w:p>
                  <w:pPr>
                    <w:spacing w:before="40" w:after="40" w:line="276" w:lineRule="auto"/>
                    <w:jc w:val="left"/>
                  </w:pPr>
                  <w:r>
                    <w:rPr>
                      <w:rFonts w:ascii="Calibri" w:hAnsi="Calibri"/>
                      <w:b/>
                      <w:sz w:val="19"/>
                    </w:rPr>
                    <w:t>Artifact / Time</w:t>
                  </w:r>
                </w:p>
              </w:tc>
            </w:tr>
            <w:tr>
              <w:trPr>
                <w:cantSplit/>
              </w:trPr>
              <w:tc>
                <w:tcPr>
                  <w:tcW w:w="1800" w:type="dxa"/>
                </w:tcPr>
                <w:p>
                  <w:pPr>
                    <w:spacing w:before="40" w:after="40" w:line="276" w:lineRule="auto"/>
                    <w:jc w:val="left"/>
                  </w:pPr>
                  <w:r>
                    <w:rPr>
                      <w:rFonts w:ascii="Calibri" w:hAnsi="Calibri"/>
                      <w:b/>
                      <w:sz w:val="18"/>
                    </w:rPr>
                    <w:t>Stage 1: SCM Audit</w:t>
                  </w:r>
                </w:p>
              </w:tc>
              <w:tc>
                <w:tcPr>
                  <w:tcW w:w="2400" w:type="dxa"/>
                </w:tcPr>
                <w:p>
                  <w:pPr>
                    <w:spacing w:before="40" w:after="40" w:line="276" w:lineRule="auto"/>
                    <w:jc w:val="left"/>
                  </w:pPr>
                  <w:r>
                    <w:rPr>
                      <w:rFonts w:ascii="Calibri" w:hAnsi="Calibri"/>
                      <w:b w:val="0"/>
                      <w:sz w:val="18"/>
                    </w:rPr>
                    <w:t>git status &amp;&amp; git branch -a &amp;&amp; git tag -l</w:t>
                  </w:r>
                </w:p>
              </w:tc>
              <w:tc>
                <w:tcPr>
                  <w:tcW w:w="2100" w:type="dxa"/>
                </w:tcPr>
                <w:p>
                  <w:pPr>
                    <w:spacing w:before="40" w:after="40" w:line="276" w:lineRule="auto"/>
                    <w:jc w:val="left"/>
                  </w:pPr>
                  <w:r>
                    <w:rPr>
                      <w:rFonts w:ascii="Calibri" w:hAnsi="Calibri"/>
                      <w:b w:val="0"/>
                      <w:sz w:val="18"/>
                    </w:rPr>
                    <w:t>Tree clean; Branch: dev; Tag: v1.0.0</w:t>
                  </w:r>
                </w:p>
              </w:tc>
              <w:tc>
                <w:tcPr>
                  <w:tcW w:w="1600" w:type="dxa"/>
                </w:tcPr>
                <w:p>
                  <w:pPr>
                    <w:spacing w:before="40" w:after="40" w:line="276" w:lineRule="auto"/>
                    <w:jc w:val="left"/>
                  </w:pPr>
                  <w:r>
                    <w:rPr>
                      <w:rFonts w:ascii="Calibri" w:hAnsi="Calibri"/>
                      <w:b w:val="0"/>
                      <w:sz w:val="18"/>
                    </w:rPr>
                    <w:t>Release 1.0.0 (0.4s)</w:t>
                  </w:r>
                </w:p>
              </w:tc>
            </w:tr>
            <w:tr>
              <w:trPr>
                <w:cantSplit/>
              </w:trPr>
              <w:tc>
                <w:tcPr>
                  <w:tcW w:w="1800" w:type="dxa"/>
                </w:tcPr>
                <w:p>
                  <w:pPr>
                    <w:spacing w:before="40" w:after="40" w:line="276" w:lineRule="auto"/>
                    <w:jc w:val="left"/>
                  </w:pPr>
                  <w:r>
                    <w:rPr>
                      <w:rFonts w:ascii="Calibri" w:hAnsi="Calibri"/>
                      <w:b/>
                      <w:sz w:val="18"/>
                    </w:rPr>
                    <w:t>Stage 2: Quality Gate</w:t>
                  </w:r>
                </w:p>
              </w:tc>
              <w:tc>
                <w:tcPr>
                  <w:tcW w:w="2400" w:type="dxa"/>
                </w:tcPr>
                <w:p>
                  <w:pPr>
                    <w:spacing w:before="40" w:after="40" w:line="276" w:lineRule="auto"/>
                    <w:jc w:val="left"/>
                  </w:pPr>
                  <w:r>
                    <w:rPr>
                      <w:rFonts w:ascii="Calibri" w:hAnsi="Calibri"/>
                      <w:b w:val="0"/>
                      <w:sz w:val="18"/>
                    </w:rPr>
                    <w:t>mvn test -Dtest=*Test</w:t>
                  </w:r>
                </w:p>
              </w:tc>
              <w:tc>
                <w:tcPr>
                  <w:tcW w:w="2100" w:type="dxa"/>
                </w:tcPr>
                <w:p>
                  <w:pPr>
                    <w:spacing w:before="40" w:after="40" w:line="276" w:lineRule="auto"/>
                    <w:jc w:val="left"/>
                  </w:pPr>
                  <w:r>
                    <w:rPr>
                      <w:rFonts w:ascii="Calibri" w:hAnsi="Calibri"/>
                      <w:b w:val="0"/>
                      <w:sz w:val="18"/>
                    </w:rPr>
                    <w:t>15/15 Tests Passed (0 Failures, 0 Errors)</w:t>
                  </w:r>
                </w:p>
              </w:tc>
              <w:tc>
                <w:tcPr>
                  <w:tcW w:w="1600" w:type="dxa"/>
                </w:tcPr>
                <w:p>
                  <w:pPr>
                    <w:spacing w:before="40" w:after="40" w:line="276" w:lineRule="auto"/>
                    <w:jc w:val="left"/>
                  </w:pPr>
                  <w:r>
                    <w:rPr>
                      <w:rFonts w:ascii="Calibri" w:hAnsi="Calibri"/>
                      <w:b w:val="0"/>
                      <w:sz w:val="18"/>
                    </w:rPr>
                    <w:t>Surefire Log (24.2s)</w:t>
                  </w:r>
                </w:p>
              </w:tc>
            </w:tr>
            <w:tr>
              <w:trPr>
                <w:cantSplit/>
              </w:trPr>
              <w:tc>
                <w:tcPr>
                  <w:tcW w:w="1800" w:type="dxa"/>
                </w:tcPr>
                <w:p>
                  <w:pPr>
                    <w:spacing w:before="40" w:after="40" w:line="276" w:lineRule="auto"/>
                    <w:jc w:val="left"/>
                  </w:pPr>
                  <w:r>
                    <w:rPr>
                      <w:rFonts w:ascii="Calibri" w:hAnsi="Calibri"/>
                      <w:b/>
                      <w:sz w:val="18"/>
                    </w:rPr>
                    <w:t>Stage 3: JAR Package</w:t>
                  </w:r>
                </w:p>
              </w:tc>
              <w:tc>
                <w:tcPr>
                  <w:tcW w:w="2400" w:type="dxa"/>
                </w:tcPr>
                <w:p>
                  <w:pPr>
                    <w:spacing w:before="40" w:after="40" w:line="276" w:lineRule="auto"/>
                    <w:jc w:val="left"/>
                  </w:pPr>
                  <w:r>
                    <w:rPr>
                      <w:rFonts w:ascii="Calibri" w:hAnsi="Calibri"/>
                      <w:b w:val="0"/>
                      <w:sz w:val="18"/>
                    </w:rPr>
                    <w:t>mvn package -DskipTests=true -B</w:t>
                  </w:r>
                </w:p>
              </w:tc>
              <w:tc>
                <w:tcPr>
                  <w:tcW w:w="2100" w:type="dxa"/>
                </w:tcPr>
                <w:p>
                  <w:pPr>
                    <w:spacing w:before="40" w:after="40" w:line="276" w:lineRule="auto"/>
                    <w:jc w:val="left"/>
                  </w:pPr>
                  <w:r>
                    <w:rPr>
                      <w:rFonts w:ascii="Calibri" w:hAnsi="Calibri"/>
                      <w:b w:val="0"/>
                      <w:sz w:val="18"/>
                    </w:rPr>
                    <w:t>Fat JAR BOOT-INF archive assembled</w:t>
                  </w:r>
                </w:p>
              </w:tc>
              <w:tc>
                <w:tcPr>
                  <w:tcW w:w="1600" w:type="dxa"/>
                </w:tcPr>
                <w:p>
                  <w:pPr>
                    <w:spacing w:before="40" w:after="40" w:line="276" w:lineRule="auto"/>
                    <w:jc w:val="left"/>
                  </w:pPr>
                  <w:r>
                    <w:rPr>
                      <w:rFonts w:ascii="Calibri" w:hAnsi="Calibri"/>
                      <w:b w:val="0"/>
                      <w:sz w:val="18"/>
                    </w:rPr>
                    <w:t>crmp-1.0.0.jar (3.6s)</w:t>
                  </w:r>
                </w:p>
              </w:tc>
            </w:tr>
            <w:tr>
              <w:trPr>
                <w:cantSplit/>
              </w:trPr>
              <w:tc>
                <w:tcPr>
                  <w:tcW w:w="1800" w:type="dxa"/>
                </w:tcPr>
                <w:p>
                  <w:pPr>
                    <w:spacing w:before="40" w:after="40" w:line="276" w:lineRule="auto"/>
                    <w:jc w:val="left"/>
                  </w:pPr>
                  <w:r>
                    <w:rPr>
                      <w:rFonts w:ascii="Calibri" w:hAnsi="Calibri"/>
                      <w:b/>
                      <w:sz w:val="18"/>
                    </w:rPr>
                    <w:t>Stage 4: Docker Build</w:t>
                  </w:r>
                </w:p>
              </w:tc>
              <w:tc>
                <w:tcPr>
                  <w:tcW w:w="2400" w:type="dxa"/>
                </w:tcPr>
                <w:p>
                  <w:pPr>
                    <w:spacing w:before="40" w:after="40" w:line="276" w:lineRule="auto"/>
                    <w:jc w:val="left"/>
                  </w:pPr>
                  <w:r>
                    <w:rPr>
                      <w:rFonts w:ascii="Calibri" w:hAnsi="Calibri"/>
                      <w:b w:val="0"/>
                      <w:sz w:val="18"/>
                    </w:rPr>
                    <w:t>docker build -t crmp:1.0.0 -t crmp:15 .</w:t>
                  </w:r>
                </w:p>
              </w:tc>
              <w:tc>
                <w:tcPr>
                  <w:tcW w:w="2100" w:type="dxa"/>
                </w:tcPr>
                <w:p>
                  <w:pPr>
                    <w:spacing w:before="40" w:after="40" w:line="276" w:lineRule="auto"/>
                    <w:jc w:val="left"/>
                  </w:pPr>
                  <w:r>
                    <w:rPr>
                      <w:rFonts w:ascii="Calibri" w:hAnsi="Calibri"/>
                      <w:b w:val="0"/>
                      <w:sz w:val="18"/>
                    </w:rPr>
                    <w:t>Multi-stage Alpine JRE image compiled</w:t>
                  </w:r>
                </w:p>
              </w:tc>
              <w:tc>
                <w:tcPr>
                  <w:tcW w:w="1600" w:type="dxa"/>
                </w:tcPr>
                <w:p>
                  <w:pPr>
                    <w:spacing w:before="40" w:after="40" w:line="276" w:lineRule="auto"/>
                    <w:jc w:val="left"/>
                  </w:pPr>
                  <w:r>
                    <w:rPr>
                      <w:rFonts w:ascii="Calibri" w:hAnsi="Calibri"/>
                      <w:b w:val="0"/>
                      <w:sz w:val="18"/>
                    </w:rPr>
                    <w:t>242.8 MB (4.8s)</w:t>
                  </w:r>
                </w:p>
              </w:tc>
            </w:tr>
            <w:tr>
              <w:trPr>
                <w:cantSplit/>
              </w:trPr>
              <w:tc>
                <w:tcPr>
                  <w:tcW w:w="1800" w:type="dxa"/>
                </w:tcPr>
                <w:p>
                  <w:pPr>
                    <w:spacing w:before="40" w:after="40" w:line="276" w:lineRule="auto"/>
                    <w:jc w:val="left"/>
                  </w:pPr>
                  <w:r>
                    <w:rPr>
                      <w:rFonts w:ascii="Calibri" w:hAnsi="Calibri"/>
                      <w:b/>
                      <w:sz w:val="18"/>
                    </w:rPr>
                    <w:t>Stage 5: Registry Push</w:t>
                  </w:r>
                </w:p>
              </w:tc>
              <w:tc>
                <w:tcPr>
                  <w:tcW w:w="2400" w:type="dxa"/>
                </w:tcPr>
                <w:p>
                  <w:pPr>
                    <w:spacing w:before="40" w:after="40" w:line="276" w:lineRule="auto"/>
                    <w:jc w:val="left"/>
                  </w:pPr>
                  <w:r>
                    <w:rPr>
                      <w:rFonts w:ascii="Calibri" w:hAnsi="Calibri"/>
                      <w:b w:val="0"/>
                      <w:sz w:val="18"/>
                    </w:rPr>
                    <w:t>docker push docker.io/rushikeshgawade/crmp</w:t>
                  </w:r>
                </w:p>
              </w:tc>
              <w:tc>
                <w:tcPr>
                  <w:tcW w:w="2100" w:type="dxa"/>
                </w:tcPr>
                <w:p>
                  <w:pPr>
                    <w:spacing w:before="40" w:after="40" w:line="276" w:lineRule="auto"/>
                    <w:jc w:val="left"/>
                  </w:pPr>
                  <w:r>
                    <w:rPr>
                      <w:rFonts w:ascii="Calibri" w:hAnsi="Calibri"/>
                      <w:b w:val="0"/>
                      <w:sz w:val="18"/>
                    </w:rPr>
                    <w:t>Pushed 53.4MB fat layer; digest 4a8b7c...</w:t>
                  </w:r>
                </w:p>
              </w:tc>
              <w:tc>
                <w:tcPr>
                  <w:tcW w:w="1600" w:type="dxa"/>
                </w:tcPr>
                <w:p>
                  <w:pPr>
                    <w:spacing w:before="40" w:after="40" w:line="276" w:lineRule="auto"/>
                    <w:jc w:val="left"/>
                  </w:pPr>
                  <w:r>
                    <w:rPr>
                      <w:rFonts w:ascii="Calibri" w:hAnsi="Calibri"/>
                      <w:b w:val="0"/>
                      <w:sz w:val="18"/>
                    </w:rPr>
                    <w:t>Docker Hub (2.1s)</w:t>
                  </w:r>
                </w:p>
              </w:tc>
            </w:tr>
            <w:tr>
              <w:trPr>
                <w:cantSplit/>
              </w:trPr>
              <w:tc>
                <w:tcPr>
                  <w:tcW w:w="1800" w:type="dxa"/>
                </w:tcPr>
                <w:p>
                  <w:pPr>
                    <w:spacing w:before="40" w:after="40" w:line="276" w:lineRule="auto"/>
                    <w:jc w:val="left"/>
                  </w:pPr>
                  <w:r>
                    <w:rPr>
                      <w:rFonts w:ascii="Calibri" w:hAnsi="Calibri"/>
                      <w:b/>
                      <w:sz w:val="18"/>
                    </w:rPr>
                    <w:t>Stage 6: Ansible Provision</w:t>
                  </w:r>
                </w:p>
              </w:tc>
              <w:tc>
                <w:tcPr>
                  <w:tcW w:w="2400" w:type="dxa"/>
                </w:tcPr>
                <w:p>
                  <w:pPr>
                    <w:spacing w:before="40" w:after="40" w:line="276" w:lineRule="auto"/>
                    <w:jc w:val="left"/>
                  </w:pPr>
                  <w:r>
                    <w:rPr>
                      <w:rFonts w:ascii="Calibri" w:hAnsi="Calibri"/>
                      <w:b w:val="0"/>
                      <w:sz w:val="18"/>
                    </w:rPr>
                    <w:t>ansible-playbook -i hosts.ini playbook.yml</w:t>
                  </w:r>
                </w:p>
              </w:tc>
              <w:tc>
                <w:tcPr>
                  <w:tcW w:w="2100" w:type="dxa"/>
                </w:tcPr>
                <w:p>
                  <w:pPr>
                    <w:spacing w:before="40" w:after="40" w:line="276" w:lineRule="auto"/>
                    <w:jc w:val="left"/>
                  </w:pPr>
                  <w:r>
                    <w:rPr>
                      <w:rFonts w:ascii="Calibri" w:hAnsi="Calibri"/>
                      <w:b w:val="0"/>
                      <w:sz w:val="18"/>
                    </w:rPr>
                    <w:t>ok=11 changed=0 failed=0 (Strict Idempotency)</w:t>
                  </w:r>
                </w:p>
              </w:tc>
              <w:tc>
                <w:tcPr>
                  <w:tcW w:w="1600" w:type="dxa"/>
                </w:tcPr>
                <w:p>
                  <w:pPr>
                    <w:spacing w:before="40" w:after="40" w:line="276" w:lineRule="auto"/>
                    <w:jc w:val="left"/>
                  </w:pPr>
                  <w:r>
                    <w:rPr>
                      <w:rFonts w:ascii="Calibri" w:hAnsi="Calibri"/>
                      <w:b w:val="0"/>
                      <w:sz w:val="18"/>
                    </w:rPr>
                    <w:t>Playbook recap (2.9s)</w:t>
                  </w:r>
                </w:p>
              </w:tc>
            </w:tr>
            <w:tr>
              <w:trPr>
                <w:cantSplit/>
              </w:trPr>
              <w:tc>
                <w:tcPr>
                  <w:tcW w:w="1800" w:type="dxa"/>
                </w:tcPr>
                <w:p>
                  <w:pPr>
                    <w:spacing w:before="40" w:after="40" w:line="276" w:lineRule="auto"/>
                    <w:jc w:val="left"/>
                  </w:pPr>
                  <w:r>
                    <w:rPr>
                      <w:rFonts w:ascii="Calibri" w:hAnsi="Calibri"/>
                      <w:b/>
                      <w:sz w:val="18"/>
                    </w:rPr>
                    <w:t>Stage 7: Health Telemetry</w:t>
                  </w:r>
                </w:p>
              </w:tc>
              <w:tc>
                <w:tcPr>
                  <w:tcW w:w="2400" w:type="dxa"/>
                </w:tcPr>
                <w:p>
                  <w:pPr>
                    <w:spacing w:before="40" w:after="40" w:line="276" w:lineRule="auto"/>
                    <w:jc w:val="left"/>
                  </w:pPr>
                  <w:r>
                    <w:rPr>
                      <w:rFonts w:ascii="Calibri" w:hAnsi="Calibri"/>
                      <w:b w:val="0"/>
                      <w:sz w:val="18"/>
                    </w:rPr>
                    <w:t>GET http://localhost:8080/actuator/health</w:t>
                  </w:r>
                </w:p>
              </w:tc>
              <w:tc>
                <w:tcPr>
                  <w:tcW w:w="2100" w:type="dxa"/>
                </w:tcPr>
                <w:p>
                  <w:pPr>
                    <w:spacing w:before="40" w:after="40" w:line="276" w:lineRule="auto"/>
                    <w:jc w:val="left"/>
                  </w:pPr>
                  <w:r>
                    <w:rPr>
                      <w:rFonts w:ascii="Calibri" w:hAnsi="Calibri"/>
                      <w:b w:val="0"/>
                      <w:sz w:val="18"/>
                    </w:rPr>
                    <w:t>HTTP 200 OK | status: UP (db: UP, disk: UP)</w:t>
                  </w:r>
                </w:p>
              </w:tc>
              <w:tc>
                <w:tcPr>
                  <w:tcW w:w="1600" w:type="dxa"/>
                </w:tcPr>
                <w:p>
                  <w:pPr>
                    <w:spacing w:before="40" w:after="40" w:line="276" w:lineRule="auto"/>
                    <w:jc w:val="left"/>
                  </w:pPr>
                  <w:r>
                    <w:rPr>
                      <w:rFonts w:ascii="Calibri" w:hAnsi="Calibri"/>
                      <w:b w:val="0"/>
                      <w:sz w:val="18"/>
                    </w:rPr>
                    <w:t>JSON payload (0.2s)</w:t>
                  </w:r>
                </w:p>
              </w:tc>
            </w:tr>
            <w:tr>
              <w:trPr>
                <w:cantSplit/>
              </w:trPr>
              <w:tc>
                <w:tcPr>
                  <w:tcW w:w="1800" w:type="dxa"/>
                </w:tcPr>
                <w:p>
                  <w:pPr>
                    <w:spacing w:before="40" w:after="40" w:line="276" w:lineRule="auto"/>
                    <w:jc w:val="left"/>
                  </w:pPr>
                  <w:r>
                    <w:rPr>
                      <w:rFonts w:ascii="Calibri" w:hAnsi="Calibri"/>
                      <w:b/>
                      <w:sz w:val="18"/>
                    </w:rPr>
                    <w:t>Stage 8: SRE Rollback</w:t>
                  </w:r>
                </w:p>
              </w:tc>
              <w:tc>
                <w:tcPr>
                  <w:tcW w:w="2400" w:type="dxa"/>
                </w:tcPr>
                <w:p>
                  <w:pPr>
                    <w:spacing w:before="40" w:after="40" w:line="276" w:lineRule="auto"/>
                    <w:jc w:val="left"/>
                  </w:pPr>
                  <w:r>
                    <w:rPr>
                      <w:rFonts w:ascii="Calibri" w:hAnsi="Calibri"/>
                      <w:b w:val="0"/>
                      <w:sz w:val="18"/>
                    </w:rPr>
                    <w:t>ansible-playbook -i hosts.ini rollback.yml</w:t>
                  </w:r>
                </w:p>
              </w:tc>
              <w:tc>
                <w:tcPr>
                  <w:tcW w:w="2100" w:type="dxa"/>
                </w:tcPr>
                <w:p>
                  <w:pPr>
                    <w:spacing w:before="40" w:after="40" w:line="276" w:lineRule="auto"/>
                    <w:jc w:val="left"/>
                  </w:pPr>
                  <w:r>
                    <w:rPr>
                      <w:rFonts w:ascii="Calibri" w:hAnsi="Calibri"/>
                      <w:b w:val="0"/>
                      <w:sz w:val="18"/>
                    </w:rPr>
                    <w:t>Restored crmp:v1.0.0; ok=5 changed=2</w:t>
                  </w:r>
                </w:p>
              </w:tc>
              <w:tc>
                <w:tcPr>
                  <w:tcW w:w="1600" w:type="dxa"/>
                </w:tcPr>
                <w:p>
                  <w:pPr>
                    <w:spacing w:before="40" w:after="40" w:line="276" w:lineRule="auto"/>
                    <w:jc w:val="left"/>
                  </w:pPr>
                  <w:r>
                    <w:rPr>
                      <w:rFonts w:ascii="Calibri" w:hAnsi="Calibri"/>
                      <w:b w:val="0"/>
                      <w:sz w:val="18"/>
                    </w:rPr>
                    <w:t>Zero-downtime (2.8s)</w:t>
                  </w:r>
                </w:p>
              </w:tc>
            </w:tr>
          </w:tbl>
          <w:p/>
          <w:p>
            <w:pPr>
              <w:spacing w:after="80"/>
            </w:pPr>
          </w:p>
          <w:p>
            <w:pPr>
              <w:keepNext/>
              <w:spacing w:before="120" w:after="40"/>
              <w:jc w:val="center"/>
            </w:pPr>
            <w:r>
              <w:drawing>
                <wp:inline xmlns:a="http://schemas.openxmlformats.org/drawingml/2006/main" xmlns:pic="http://schemas.openxmlformats.org/drawingml/2006/picture">
                  <wp:extent cx="5120640" cy="3189171"/>
                  <wp:docPr id="3" name="Picture 3"/>
                  <wp:cNvGraphicFramePr>
                    <a:graphicFrameLocks noChangeAspect="1"/>
                  </wp:cNvGraphicFramePr>
                  <a:graphic>
                    <a:graphicData uri="http://schemas.openxmlformats.org/drawingml/2006/picture">
                      <pic:pic>
                        <pic:nvPicPr>
                          <pic:cNvPr id="0" name="figure_15_2_live_e2e_pipeline_orchestration.png"/>
                          <pic:cNvPicPr/>
                        </pic:nvPicPr>
                        <pic:blipFill>
                          <a:blip r:embed="rId24"/>
                          <a:stretch>
                            <a:fillRect/>
                          </a:stretch>
                        </pic:blipFill>
                        <pic:spPr>
                          <a:xfrm>
                            <a:off x="0" y="0"/>
                            <a:ext cx="5120640" cy="3189171"/>
                          </a:xfrm>
                          <a:prstGeom prst="rect"/>
                        </pic:spPr>
                      </pic:pic>
                    </a:graphicData>
                  </a:graphic>
                </wp:inline>
              </w:drawing>
            </w:r>
          </w:p>
          <w:p>
            <w:pPr>
              <w:keepNext/>
              <w:spacing w:before="40" w:after="160"/>
              <w:jc w:val="center"/>
            </w:pPr>
            <w:r>
              <w:rPr>
                <w:rFonts w:ascii="Calibri" w:hAnsi="Calibri"/>
                <w:b/>
                <w:sz w:val="20"/>
              </w:rPr>
              <w:t>Figure 15.2: Live Terminal Execution of Master End-to-End DevOps Workflow Orchestration</w:t>
            </w:r>
          </w:p>
          <w:p>
            <w:pPr>
              <w:keepNext/>
              <w:spacing w:before="160" w:after="60" w:line="276" w:lineRule="auto"/>
            </w:pPr>
            <w:r>
              <w:rPr>
                <w:rFonts w:ascii="Calibri" w:hAnsi="Calibri"/>
                <w:b/>
                <w:sz w:val="24"/>
              </w:rPr>
              <w:t>3. Continuous Quality Gate &amp; Automated Testing Harness</w:t>
            </w:r>
          </w:p>
          <w:p>
            <w:pPr>
              <w:spacing w:before="20" w:after="60" w:line="276" w:lineRule="auto"/>
            </w:pPr>
            <w:r>
              <w:rPr>
                <w:rFonts w:ascii="Calibri" w:hAnsi="Calibri"/>
                <w:sz w:val="22"/>
              </w:rPr>
              <w:t>Automated software testing forms the uncompromised gatekeeper of the CRMP delivery pipeline. To protect against functional regressions, security bypasses, and content moderation failures, a multi-layered test harness containing 15 automated test cases is integrated directly into the build pipeline:</w:t>
            </w:r>
          </w:p>
          <w:p>
            <w:pPr>
              <w:spacing w:before="20" w:after="60" w:line="276" w:lineRule="auto"/>
            </w:pPr>
            <w:r>
              <w:rPr>
                <w:rFonts w:ascii="Calibri" w:hAnsi="Calibri"/>
                <w:b/>
                <w:sz w:val="22"/>
              </w:rPr>
              <w:t>a) Service Layer Unit Testing -</w:t>
            </w:r>
            <w:r>
              <w:rPr>
                <w:rFonts w:ascii="Calibri" w:hAnsi="Calibri"/>
                <w:sz w:val="22"/>
              </w:rPr>
              <w:t xml:space="preserve"> Three unit tests (SpamDetectionServiceTest) validating heuristic keyword filtering, profanity pattern matching, and URL blacklist triage rules.</w:t>
            </w:r>
          </w:p>
          <w:p>
            <w:pPr>
              <w:spacing w:before="20" w:after="60" w:line="276" w:lineRule="auto"/>
            </w:pPr>
            <w:r>
              <w:rPr>
                <w:rFonts w:ascii="Calibri" w:hAnsi="Calibri"/>
                <w:b/>
                <w:sz w:val="22"/>
              </w:rPr>
              <w:t>b) Controller MockMvc Testing -</w:t>
            </w:r>
            <w:r>
              <w:rPr>
                <w:rFonts w:ascii="Calibri" w:hAnsi="Calibri"/>
                <w:sz w:val="22"/>
              </w:rPr>
              <w:t xml:space="preserve"> Seven integration tests (CustomerReviewPortalApplicationTests) validating HTTP endpoint routing, Spring MVC model binding, CSRF token validation, and redirect behaviors.</w:t>
            </w:r>
          </w:p>
          <w:p>
            <w:pPr>
              <w:spacing w:before="20" w:after="60" w:line="276" w:lineRule="auto"/>
            </w:pPr>
            <w:r>
              <w:rPr>
                <w:rFonts w:ascii="Calibri" w:hAnsi="Calibri"/>
                <w:b/>
                <w:sz w:val="22"/>
              </w:rPr>
              <w:t>c) Selenium WebDriver 4.x Journeys -</w:t>
            </w:r>
            <w:r>
              <w:rPr>
                <w:rFonts w:ascii="Calibri" w:hAnsi="Calibri"/>
                <w:sz w:val="22"/>
              </w:rPr>
              <w:t xml:space="preserve"> Five end-to-end browser journeys (ReviewPortalSeleniumTest) executed through headless Chromium/Edge WebDriver with explicit dynamic wait synchronization: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2200" w:type="dxa"/>
                  <w:shd w:fill="EAECEE"/>
                </w:tcPr>
                <w:p>
                  <w:pPr>
                    <w:spacing w:before="40" w:after="40" w:line="276" w:lineRule="auto"/>
                    <w:jc w:val="left"/>
                  </w:pPr>
                  <w:r>
                    <w:rPr>
                      <w:rFonts w:ascii="Calibri" w:hAnsi="Calibri"/>
                      <w:b/>
                      <w:sz w:val="19"/>
                    </w:rPr>
                    <w:t>Test Suite / Class</w:t>
                  </w:r>
                </w:p>
              </w:tc>
              <w:tc>
                <w:tcPr>
                  <w:tcW w:w="2600" w:type="dxa"/>
                  <w:shd w:fill="EAECEE"/>
                </w:tcPr>
                <w:p>
                  <w:pPr>
                    <w:spacing w:before="40" w:after="40" w:line="276" w:lineRule="auto"/>
                    <w:jc w:val="left"/>
                  </w:pPr>
                  <w:r>
                    <w:rPr>
                      <w:rFonts w:ascii="Calibri" w:hAnsi="Calibri"/>
                      <w:b/>
                      <w:sz w:val="19"/>
                    </w:rPr>
                    <w:t>Test Scope &amp; Assertion Targets</w:t>
                  </w:r>
                </w:p>
              </w:tc>
              <w:tc>
                <w:tcPr>
                  <w:tcW w:w="1100" w:type="dxa"/>
                  <w:shd w:fill="EAECEE"/>
                </w:tcPr>
                <w:p>
                  <w:pPr>
                    <w:spacing w:before="40" w:after="40" w:line="276" w:lineRule="auto"/>
                    <w:jc w:val="left"/>
                  </w:pPr>
                  <w:r>
                    <w:rPr>
                      <w:rFonts w:ascii="Calibri" w:hAnsi="Calibri"/>
                      <w:b/>
                      <w:sz w:val="19"/>
                    </w:rPr>
                    <w:t>Tests Run</w:t>
                  </w:r>
                </w:p>
              </w:tc>
              <w:tc>
                <w:tcPr>
                  <w:tcW w:w="2000" w:type="dxa"/>
                  <w:shd w:fill="EAECEE"/>
                </w:tcPr>
                <w:p>
                  <w:pPr>
                    <w:spacing w:before="40" w:after="40" w:line="276" w:lineRule="auto"/>
                    <w:jc w:val="left"/>
                  </w:pPr>
                  <w:r>
                    <w:rPr>
                      <w:rFonts w:ascii="Calibri" w:hAnsi="Calibri"/>
                      <w:b/>
                      <w:sz w:val="19"/>
                    </w:rPr>
                    <w:t>Quality Gate Outcome</w:t>
                  </w:r>
                </w:p>
              </w:tc>
            </w:tr>
            <w:tr>
              <w:trPr>
                <w:cantSplit/>
              </w:trPr>
              <w:tc>
                <w:tcPr>
                  <w:tcW w:w="2200" w:type="dxa"/>
                </w:tcPr>
                <w:p>
                  <w:pPr>
                    <w:spacing w:before="40" w:after="40" w:line="276" w:lineRule="auto"/>
                    <w:jc w:val="left"/>
                  </w:pPr>
                  <w:r>
                    <w:rPr>
                      <w:rFonts w:ascii="Calibri" w:hAnsi="Calibri"/>
                      <w:b/>
                      <w:sz w:val="18"/>
                    </w:rPr>
                    <w:t>MockMvc Controller Tests</w:t>
                  </w:r>
                </w:p>
              </w:tc>
              <w:tc>
                <w:tcPr>
                  <w:tcW w:w="2600" w:type="dxa"/>
                </w:tcPr>
                <w:p>
                  <w:pPr>
                    <w:spacing w:before="40" w:after="40" w:line="276" w:lineRule="auto"/>
                    <w:jc w:val="left"/>
                  </w:pPr>
                  <w:r>
                    <w:rPr>
                      <w:rFonts w:ascii="Calibri" w:hAnsi="Calibri"/>
                      <w:b w:val="0"/>
                      <w:sz w:val="18"/>
                    </w:rPr>
                    <w:t>HTTP GET/POST /reviews, /reviews/submit, /reviews/{id}/status, flash attributes, model binding</w:t>
                  </w:r>
                </w:p>
              </w:tc>
              <w:tc>
                <w:tcPr>
                  <w:tcW w:w="1100" w:type="dxa"/>
                </w:tcPr>
                <w:p>
                  <w:pPr>
                    <w:spacing w:before="40" w:after="40" w:line="276" w:lineRule="auto"/>
                    <w:jc w:val="left"/>
                  </w:pPr>
                  <w:r>
                    <w:rPr>
                      <w:rFonts w:ascii="Calibri" w:hAnsi="Calibri"/>
                      <w:b w:val="0"/>
                      <w:sz w:val="18"/>
                    </w:rPr>
                    <w:t>7</w:t>
                  </w:r>
                </w:p>
              </w:tc>
              <w:tc>
                <w:tcPr>
                  <w:tcW w:w="2000" w:type="dxa"/>
                </w:tcPr>
                <w:p>
                  <w:pPr>
                    <w:spacing w:before="40" w:after="40" w:line="276" w:lineRule="auto"/>
                    <w:jc w:val="left"/>
                  </w:pPr>
                  <w:r>
                    <w:rPr>
                      <w:rFonts w:ascii="Calibri" w:hAnsi="Calibri"/>
                      <w:b w:val="0"/>
                      <w:sz w:val="18"/>
                    </w:rPr>
                    <w:t>PASSED (0 Failures)</w:t>
                  </w:r>
                </w:p>
              </w:tc>
            </w:tr>
            <w:tr>
              <w:trPr>
                <w:cantSplit/>
              </w:trPr>
              <w:tc>
                <w:tcPr>
                  <w:tcW w:w="2200" w:type="dxa"/>
                </w:tcPr>
                <w:p>
                  <w:pPr>
                    <w:spacing w:before="40" w:after="40" w:line="276" w:lineRule="auto"/>
                    <w:jc w:val="left"/>
                  </w:pPr>
                  <w:r>
                    <w:rPr>
                      <w:rFonts w:ascii="Calibri" w:hAnsi="Calibri"/>
                      <w:b/>
                      <w:sz w:val="18"/>
                    </w:rPr>
                    <w:t>Spam Detection Unit Tests</w:t>
                  </w:r>
                </w:p>
              </w:tc>
              <w:tc>
                <w:tcPr>
                  <w:tcW w:w="2600" w:type="dxa"/>
                </w:tcPr>
                <w:p>
                  <w:pPr>
                    <w:spacing w:before="40" w:after="40" w:line="276" w:lineRule="auto"/>
                    <w:jc w:val="left"/>
                  </w:pPr>
                  <w:r>
                    <w:rPr>
                      <w:rFonts w:ascii="Calibri" w:hAnsi="Calibri"/>
                      <w:b w:val="0"/>
                      <w:sz w:val="18"/>
                    </w:rPr>
                    <w:t>Spam keywords detection, phishing URL regex, profanity triage transitions to FLAGGED</w:t>
                  </w:r>
                </w:p>
              </w:tc>
              <w:tc>
                <w:tcPr>
                  <w:tcW w:w="1100" w:type="dxa"/>
                </w:tcPr>
                <w:p>
                  <w:pPr>
                    <w:spacing w:before="40" w:after="40" w:line="276" w:lineRule="auto"/>
                    <w:jc w:val="left"/>
                  </w:pPr>
                  <w:r>
                    <w:rPr>
                      <w:rFonts w:ascii="Calibri" w:hAnsi="Calibri"/>
                      <w:b w:val="0"/>
                      <w:sz w:val="18"/>
                    </w:rPr>
                    <w:t>3</w:t>
                  </w:r>
                </w:p>
              </w:tc>
              <w:tc>
                <w:tcPr>
                  <w:tcW w:w="2000" w:type="dxa"/>
                </w:tcPr>
                <w:p>
                  <w:pPr>
                    <w:spacing w:before="40" w:after="40" w:line="276" w:lineRule="auto"/>
                    <w:jc w:val="left"/>
                  </w:pPr>
                  <w:r>
                    <w:rPr>
                      <w:rFonts w:ascii="Calibri" w:hAnsi="Calibri"/>
                      <w:b w:val="0"/>
                      <w:sz w:val="18"/>
                    </w:rPr>
                    <w:t>PASSED (0 Failures)</w:t>
                  </w:r>
                </w:p>
              </w:tc>
            </w:tr>
            <w:tr>
              <w:trPr>
                <w:cantSplit/>
              </w:trPr>
              <w:tc>
                <w:tcPr>
                  <w:tcW w:w="2200" w:type="dxa"/>
                </w:tcPr>
                <w:p>
                  <w:pPr>
                    <w:spacing w:before="40" w:after="40" w:line="276" w:lineRule="auto"/>
                    <w:jc w:val="left"/>
                  </w:pPr>
                  <w:r>
                    <w:rPr>
                      <w:rFonts w:ascii="Calibri" w:hAnsi="Calibri"/>
                      <w:b/>
                      <w:sz w:val="18"/>
                    </w:rPr>
                    <w:t>Selenium Journey 1: Ingestion</w:t>
                  </w:r>
                </w:p>
              </w:tc>
              <w:tc>
                <w:tcPr>
                  <w:tcW w:w="2600" w:type="dxa"/>
                </w:tcPr>
                <w:p>
                  <w:pPr>
                    <w:spacing w:before="40" w:after="40" w:line="276" w:lineRule="auto"/>
                    <w:jc w:val="left"/>
                  </w:pPr>
                  <w:r>
                    <w:rPr>
                      <w:rFonts w:ascii="Calibri" w:hAnsi="Calibri"/>
                      <w:b w:val="0"/>
                      <w:sz w:val="18"/>
                    </w:rPr>
                    <w:t>Form fill (PROD-505), submit, assert flash alert &amp; table ingestion with PENDING tag</w:t>
                  </w:r>
                </w:p>
              </w:tc>
              <w:tc>
                <w:tcPr>
                  <w:tcW w:w="1100" w:type="dxa"/>
                </w:tcPr>
                <w:p>
                  <w:pPr>
                    <w:spacing w:before="40" w:after="40" w:line="276" w:lineRule="auto"/>
                    <w:jc w:val="left"/>
                  </w:pPr>
                  <w:r>
                    <w:rPr>
                      <w:rFonts w:ascii="Calibri" w:hAnsi="Calibri"/>
                      <w:b w:val="0"/>
                      <w:sz w:val="18"/>
                    </w:rPr>
                    <w:t>1</w:t>
                  </w:r>
                </w:p>
              </w:tc>
              <w:tc>
                <w:tcPr>
                  <w:tcW w:w="2000" w:type="dxa"/>
                </w:tcPr>
                <w:p>
                  <w:pPr>
                    <w:spacing w:before="40" w:after="40" w:line="276" w:lineRule="auto"/>
                    <w:jc w:val="left"/>
                  </w:pPr>
                  <w:r>
                    <w:rPr>
                      <w:rFonts w:ascii="Calibri" w:hAnsi="Calibri"/>
                      <w:b w:val="0"/>
                      <w:sz w:val="18"/>
                    </w:rPr>
                    <w:t>PASSED (0 Failures)</w:t>
                  </w:r>
                </w:p>
              </w:tc>
            </w:tr>
            <w:tr>
              <w:trPr>
                <w:cantSplit/>
              </w:trPr>
              <w:tc>
                <w:tcPr>
                  <w:tcW w:w="2200" w:type="dxa"/>
                </w:tcPr>
                <w:p>
                  <w:pPr>
                    <w:spacing w:before="40" w:after="40" w:line="276" w:lineRule="auto"/>
                    <w:jc w:val="left"/>
                  </w:pPr>
                  <w:r>
                    <w:rPr>
                      <w:rFonts w:ascii="Calibri" w:hAnsi="Calibri"/>
                      <w:b/>
                      <w:sz w:val="18"/>
                    </w:rPr>
                    <w:t>Selenium Journey 2: Validation</w:t>
                  </w:r>
                </w:p>
              </w:tc>
              <w:tc>
                <w:tcPr>
                  <w:tcW w:w="2600" w:type="dxa"/>
                </w:tcPr>
                <w:p>
                  <w:pPr>
                    <w:spacing w:before="40" w:after="40" w:line="276" w:lineRule="auto"/>
                    <w:jc w:val="left"/>
                  </w:pPr>
                  <w:r>
                    <w:rPr>
                      <w:rFonts w:ascii="Calibri" w:hAnsi="Calibri"/>
                      <w:b w:val="0"/>
                      <w:sz w:val="18"/>
                    </w:rPr>
                    <w:t>Submit empty form, assert 4 inline invalid-feedback gates, submit spam URL assert FLAGGED</w:t>
                  </w:r>
                </w:p>
              </w:tc>
              <w:tc>
                <w:tcPr>
                  <w:tcW w:w="1100" w:type="dxa"/>
                </w:tcPr>
                <w:p>
                  <w:pPr>
                    <w:spacing w:before="40" w:after="40" w:line="276" w:lineRule="auto"/>
                    <w:jc w:val="left"/>
                  </w:pPr>
                  <w:r>
                    <w:rPr>
                      <w:rFonts w:ascii="Calibri" w:hAnsi="Calibri"/>
                      <w:b w:val="0"/>
                      <w:sz w:val="18"/>
                    </w:rPr>
                    <w:t>1</w:t>
                  </w:r>
                </w:p>
              </w:tc>
              <w:tc>
                <w:tcPr>
                  <w:tcW w:w="2000" w:type="dxa"/>
                </w:tcPr>
                <w:p>
                  <w:pPr>
                    <w:spacing w:before="40" w:after="40" w:line="276" w:lineRule="auto"/>
                    <w:jc w:val="left"/>
                  </w:pPr>
                  <w:r>
                    <w:rPr>
                      <w:rFonts w:ascii="Calibri" w:hAnsi="Calibri"/>
                      <w:b w:val="0"/>
                      <w:sz w:val="18"/>
                    </w:rPr>
                    <w:t>PASSED (0 Failures)</w:t>
                  </w:r>
                </w:p>
              </w:tc>
            </w:tr>
            <w:tr>
              <w:trPr>
                <w:cantSplit/>
              </w:trPr>
              <w:tc>
                <w:tcPr>
                  <w:tcW w:w="2200" w:type="dxa"/>
                </w:tcPr>
                <w:p>
                  <w:pPr>
                    <w:spacing w:before="40" w:after="40" w:line="276" w:lineRule="auto"/>
                    <w:jc w:val="left"/>
                  </w:pPr>
                  <w:r>
                    <w:rPr>
                      <w:rFonts w:ascii="Calibri" w:hAnsi="Calibri"/>
                      <w:b/>
                      <w:sz w:val="18"/>
                    </w:rPr>
                    <w:t>Selenium Journey 3: Search/Filter</w:t>
                  </w:r>
                </w:p>
              </w:tc>
              <w:tc>
                <w:tcPr>
                  <w:tcW w:w="2600" w:type="dxa"/>
                </w:tcPr>
                <w:p>
                  <w:pPr>
                    <w:spacing w:before="40" w:after="40" w:line="276" w:lineRule="auto"/>
                    <w:jc w:val="left"/>
                  </w:pPr>
                  <w:r>
                    <w:rPr>
                      <w:rFonts w:ascii="Calibri" w:hAnsi="Calibri"/>
                      <w:b w:val="0"/>
                      <w:sz w:val="18"/>
                    </w:rPr>
                    <w:t>Search product PROD-101, filter by PENDING/APPROVED, assert dynamic badge updates</w:t>
                  </w:r>
                </w:p>
              </w:tc>
              <w:tc>
                <w:tcPr>
                  <w:tcW w:w="1100" w:type="dxa"/>
                </w:tcPr>
                <w:p>
                  <w:pPr>
                    <w:spacing w:before="40" w:after="40" w:line="276" w:lineRule="auto"/>
                    <w:jc w:val="left"/>
                  </w:pPr>
                  <w:r>
                    <w:rPr>
                      <w:rFonts w:ascii="Calibri" w:hAnsi="Calibri"/>
                      <w:b w:val="0"/>
                      <w:sz w:val="18"/>
                    </w:rPr>
                    <w:t>1</w:t>
                  </w:r>
                </w:p>
              </w:tc>
              <w:tc>
                <w:tcPr>
                  <w:tcW w:w="2000" w:type="dxa"/>
                </w:tcPr>
                <w:p>
                  <w:pPr>
                    <w:spacing w:before="40" w:after="40" w:line="276" w:lineRule="auto"/>
                    <w:jc w:val="left"/>
                  </w:pPr>
                  <w:r>
                    <w:rPr>
                      <w:rFonts w:ascii="Calibri" w:hAnsi="Calibri"/>
                      <w:b w:val="0"/>
                      <w:sz w:val="18"/>
                    </w:rPr>
                    <w:t>PASSED (0 Failures)</w:t>
                  </w:r>
                </w:p>
              </w:tc>
            </w:tr>
            <w:tr>
              <w:trPr>
                <w:cantSplit/>
              </w:trPr>
              <w:tc>
                <w:tcPr>
                  <w:tcW w:w="2200" w:type="dxa"/>
                </w:tcPr>
                <w:p>
                  <w:pPr>
                    <w:spacing w:before="40" w:after="40" w:line="276" w:lineRule="auto"/>
                    <w:jc w:val="left"/>
                  </w:pPr>
                  <w:r>
                    <w:rPr>
                      <w:rFonts w:ascii="Calibri" w:hAnsi="Calibri"/>
                      <w:b/>
                      <w:sz w:val="18"/>
                    </w:rPr>
                    <w:t>Selenium Journey 4: State Machine</w:t>
                  </w:r>
                </w:p>
              </w:tc>
              <w:tc>
                <w:tcPr>
                  <w:tcW w:w="2600" w:type="dxa"/>
                </w:tcPr>
                <w:p>
                  <w:pPr>
                    <w:spacing w:before="40" w:after="40" w:line="276" w:lineRule="auto"/>
                    <w:jc w:val="left"/>
                  </w:pPr>
                  <w:r>
                    <w:rPr>
                      <w:rFonts w:ascii="Calibri" w:hAnsi="Calibri"/>
                      <w:b w:val="0"/>
                      <w:sz w:val="18"/>
                    </w:rPr>
                    <w:t>Moderator clicks Approve and Flag buttons, assert status transition without stale elements</w:t>
                  </w:r>
                </w:p>
              </w:tc>
              <w:tc>
                <w:tcPr>
                  <w:tcW w:w="1100" w:type="dxa"/>
                </w:tcPr>
                <w:p>
                  <w:pPr>
                    <w:spacing w:before="40" w:after="40" w:line="276" w:lineRule="auto"/>
                    <w:jc w:val="left"/>
                  </w:pPr>
                  <w:r>
                    <w:rPr>
                      <w:rFonts w:ascii="Calibri" w:hAnsi="Calibri"/>
                      <w:b w:val="0"/>
                      <w:sz w:val="18"/>
                    </w:rPr>
                    <w:t>1</w:t>
                  </w:r>
                </w:p>
              </w:tc>
              <w:tc>
                <w:tcPr>
                  <w:tcW w:w="2000" w:type="dxa"/>
                </w:tcPr>
                <w:p>
                  <w:pPr>
                    <w:spacing w:before="40" w:after="40" w:line="276" w:lineRule="auto"/>
                    <w:jc w:val="left"/>
                  </w:pPr>
                  <w:r>
                    <w:rPr>
                      <w:rFonts w:ascii="Calibri" w:hAnsi="Calibri"/>
                      <w:b w:val="0"/>
                      <w:sz w:val="18"/>
                    </w:rPr>
                    <w:t>PASSED (0 Failures)</w:t>
                  </w:r>
                </w:p>
              </w:tc>
            </w:tr>
            <w:tr>
              <w:trPr>
                <w:cantSplit/>
              </w:trPr>
              <w:tc>
                <w:tcPr>
                  <w:tcW w:w="2200" w:type="dxa"/>
                </w:tcPr>
                <w:p>
                  <w:pPr>
                    <w:spacing w:before="40" w:after="40" w:line="276" w:lineRule="auto"/>
                    <w:jc w:val="left"/>
                  </w:pPr>
                  <w:r>
                    <w:rPr>
                      <w:rFonts w:ascii="Calibri" w:hAnsi="Calibri"/>
                      <w:b/>
                      <w:sz w:val="18"/>
                    </w:rPr>
                    <w:t>Selenium Journey 5: Failure Hook</w:t>
                  </w:r>
                </w:p>
              </w:tc>
              <w:tc>
                <w:tcPr>
                  <w:tcW w:w="2600" w:type="dxa"/>
                </w:tcPr>
                <w:p>
                  <w:pPr>
                    <w:spacing w:before="40" w:after="40" w:line="276" w:lineRule="auto"/>
                    <w:jc w:val="left"/>
                  </w:pPr>
                  <w:r>
                    <w:rPr>
                      <w:rFonts w:ascii="Calibri" w:hAnsi="Calibri"/>
                      <w:b w:val="0"/>
                      <w:sz w:val="18"/>
                    </w:rPr>
                    <w:t>Programmatic assertion trap verifies SeleniumScreenshotExtension generates valid PNG header</w:t>
                  </w:r>
                </w:p>
              </w:tc>
              <w:tc>
                <w:tcPr>
                  <w:tcW w:w="1100" w:type="dxa"/>
                </w:tcPr>
                <w:p>
                  <w:pPr>
                    <w:spacing w:before="40" w:after="40" w:line="276" w:lineRule="auto"/>
                    <w:jc w:val="left"/>
                  </w:pPr>
                  <w:r>
                    <w:rPr>
                      <w:rFonts w:ascii="Calibri" w:hAnsi="Calibri"/>
                      <w:b w:val="0"/>
                      <w:sz w:val="18"/>
                    </w:rPr>
                    <w:t>1</w:t>
                  </w:r>
                </w:p>
              </w:tc>
              <w:tc>
                <w:tcPr>
                  <w:tcW w:w="2000" w:type="dxa"/>
                </w:tcPr>
                <w:p>
                  <w:pPr>
                    <w:spacing w:before="40" w:after="40" w:line="276" w:lineRule="auto"/>
                    <w:jc w:val="left"/>
                  </w:pPr>
                  <w:r>
                    <w:rPr>
                      <w:rFonts w:ascii="Calibri" w:hAnsi="Calibri"/>
                      <w:b w:val="0"/>
                      <w:sz w:val="18"/>
                    </w:rPr>
                    <w:t>PASSED (0 Failures)</w:t>
                  </w:r>
                </w:p>
              </w:tc>
            </w:tr>
          </w:tbl>
          <w:p/>
          <w:p>
            <w:pPr>
              <w:spacing w:after="80"/>
            </w:pPr>
          </w:p>
          <w:p>
            <w:pPr>
              <w:spacing w:before="20" w:after="60" w:line="276" w:lineRule="auto"/>
            </w:pPr>
            <w:r>
              <w:rPr>
                <w:rFonts w:ascii="Calibri" w:hAnsi="Calibri"/>
                <w:sz w:val="22"/>
              </w:rPr>
              <w:t>In Task 10, an intentional defect experiment proved the defensive posture of the Jenkins Quality Gate: when a regression was introduced into SpamDetectionService, Jenkins immediately aborted execution at the test stage, preventing defective code from reaching Docker packaging or deployment. Only upon committing the bug fix (commit 91aeb11) did the pipeline resume and pass.</w:t>
            </w:r>
          </w:p>
          <w:p>
            <w:pPr>
              <w:keepNext/>
              <w:spacing w:before="120" w:after="40"/>
              <w:jc w:val="center"/>
            </w:pPr>
            <w:r>
              <w:drawing>
                <wp:inline xmlns:a="http://schemas.openxmlformats.org/drawingml/2006/main" xmlns:pic="http://schemas.openxmlformats.org/drawingml/2006/picture">
                  <wp:extent cx="5120640" cy="3008002"/>
                  <wp:docPr id="4" name="Picture 4"/>
                  <wp:cNvGraphicFramePr>
                    <a:graphicFrameLocks noChangeAspect="1"/>
                  </wp:cNvGraphicFramePr>
                  <a:graphic>
                    <a:graphicData uri="http://schemas.openxmlformats.org/drawingml/2006/picture">
                      <pic:pic>
                        <pic:nvPicPr>
                          <pic:cNvPr id="0" name="figure_15_3_jenkins_and_selenium_quality_gate.png"/>
                          <pic:cNvPicPr/>
                        </pic:nvPicPr>
                        <pic:blipFill>
                          <a:blip r:embed="rId25"/>
                          <a:stretch>
                            <a:fillRect/>
                          </a:stretch>
                        </pic:blipFill>
                        <pic:spPr>
                          <a:xfrm>
                            <a:off x="0" y="0"/>
                            <a:ext cx="5120640" cy="3008002"/>
                          </a:xfrm>
                          <a:prstGeom prst="rect"/>
                        </pic:spPr>
                      </pic:pic>
                    </a:graphicData>
                  </a:graphic>
                </wp:inline>
              </w:drawing>
            </w:r>
          </w:p>
          <w:p>
            <w:pPr>
              <w:keepNext/>
              <w:spacing w:before="40" w:after="160"/>
              <w:jc w:val="center"/>
            </w:pPr>
            <w:r>
              <w:rPr>
                <w:rFonts w:ascii="Calibri" w:hAnsi="Calibri"/>
                <w:b/>
                <w:sz w:val="20"/>
              </w:rPr>
              <w:t>Figure 15.3: Jenkins Continuous Testing Quality Gate &amp; Automated Selenium Test Suite (15/15 Pass)</w:t>
            </w:r>
          </w:p>
          <w:p>
            <w:pPr>
              <w:keepNext/>
              <w:spacing w:before="160" w:after="60" w:line="276" w:lineRule="auto"/>
            </w:pPr>
            <w:r>
              <w:rPr>
                <w:rFonts w:ascii="Calibri" w:hAnsi="Calibri"/>
                <w:b/>
                <w:sz w:val="24"/>
              </w:rPr>
              <w:t>4. Multi-Stage Containerization, Registry Publication &amp; Image Security</w:t>
            </w:r>
          </w:p>
          <w:p>
            <w:pPr>
              <w:spacing w:before="20" w:after="60" w:line="276" w:lineRule="auto"/>
            </w:pPr>
            <w:r>
              <w:rPr>
                <w:rFonts w:ascii="Calibri" w:hAnsi="Calibri"/>
                <w:sz w:val="22"/>
              </w:rPr>
              <w:t>Containerization is implemented using Docker multi-stage builds to maximize runtime security and minimize image footprint. In standard monolithic container builds, the entire Maven build environment, source code trees, test frameworks, and .m2 repository caches remain inside the runtime container, resulting in an unacceptably large image size (&gt;850 MB) and a massive security attack surface.</w:t>
            </w:r>
          </w:p>
          <w:p>
            <w:pPr>
              <w:spacing w:before="20" w:after="60" w:line="276" w:lineRule="auto"/>
            </w:pPr>
            <w:r>
              <w:rPr>
                <w:rFonts w:ascii="Calibri" w:hAnsi="Calibri"/>
                <w:sz w:val="22"/>
              </w:rPr>
              <w:t>Our Dockerfile enforces a clean two-stage separation:</w:t>
            </w:r>
          </w:p>
          <w:p>
            <w:pPr>
              <w:spacing w:before="20" w:after="60" w:line="276" w:lineRule="auto"/>
            </w:pPr>
            <w:r>
              <w:rPr>
                <w:rFonts w:ascii="Calibri" w:hAnsi="Calibri"/>
                <w:b/>
                <w:sz w:val="22"/>
              </w:rPr>
              <w:t>1. Stage 1 (Builder):</w:t>
            </w:r>
            <w:r>
              <w:rPr>
                <w:rFonts w:ascii="Calibri" w:hAnsi="Calibri"/>
                <w:sz w:val="22"/>
              </w:rPr>
              <w:t xml:space="preserve"> Uses maven:3.9.6-eclipse-temurin-21 to resolve dependencies offline and compile the 53.4 MB executable JAR. This stage is discarded completely upon build completion.</w:t>
            </w:r>
          </w:p>
          <w:p>
            <w:pPr>
              <w:spacing w:before="20" w:after="60" w:line="276" w:lineRule="auto"/>
            </w:pPr>
            <w:r>
              <w:rPr>
                <w:rFonts w:ascii="Calibri" w:hAnsi="Calibri"/>
                <w:b/>
                <w:sz w:val="22"/>
              </w:rPr>
              <w:t>2. Stage 2 (Production Runtime):</w:t>
            </w:r>
            <w:r>
              <w:rPr>
                <w:rFonts w:ascii="Calibri" w:hAnsi="Calibri"/>
                <w:sz w:val="22"/>
              </w:rPr>
              <w:t xml:space="preserve"> Uses eclipse-temurin:21-jre-alpine (189.4 MB base), copies solely the compiled JAR into /app/crmp.jar, creates an unprivileged group (crmpgroup, GID 1000) and user (crmpuser, UID 1000), and drops root privileges via USER crmpuser:crmpgroup.</w:t>
            </w:r>
          </w:p>
          <w:p>
            <w:pPr>
              <w:spacing w:before="20" w:after="60" w:line="276" w:lineRule="auto"/>
            </w:pPr>
            <w:r>
              <w:rPr>
                <w:rFonts w:ascii="Calibri" w:hAnsi="Calibri"/>
                <w:sz w:val="22"/>
              </w:rPr>
              <w:t>The resulting production image measures exactly 242.8 MB, representing a 71.4% space reduction compared to the 850.4 MB builder container. The image is tagged with semantic release numbers (crmp:1.0.0, crmp:latest, crmp:15) and published to Docker Hub (docker.io/rushikeshgawade/crmp:1.0.0) with sha256:4a8b7c6d... digest verification.</w:t>
            </w:r>
          </w:p>
          <w:p>
            <w:pPr>
              <w:keepNext/>
              <w:spacing w:before="120" w:after="40"/>
              <w:jc w:val="center"/>
            </w:pPr>
            <w:r>
              <w:drawing>
                <wp:inline xmlns:a="http://schemas.openxmlformats.org/drawingml/2006/main" xmlns:pic="http://schemas.openxmlformats.org/drawingml/2006/picture">
                  <wp:extent cx="5120640" cy="3008002"/>
                  <wp:docPr id="5" name="Picture 5"/>
                  <wp:cNvGraphicFramePr>
                    <a:graphicFrameLocks noChangeAspect="1"/>
                  </wp:cNvGraphicFramePr>
                  <a:graphic>
                    <a:graphicData uri="http://schemas.openxmlformats.org/drawingml/2006/picture">
                      <pic:pic>
                        <pic:nvPicPr>
                          <pic:cNvPr id="0" name="figure_15_4_docker_and_registry_distribution.png"/>
                          <pic:cNvPicPr/>
                        </pic:nvPicPr>
                        <pic:blipFill>
                          <a:blip r:embed="rId26"/>
                          <a:stretch>
                            <a:fillRect/>
                          </a:stretch>
                        </pic:blipFill>
                        <pic:spPr>
                          <a:xfrm>
                            <a:off x="0" y="0"/>
                            <a:ext cx="5120640" cy="3008002"/>
                          </a:xfrm>
                          <a:prstGeom prst="rect"/>
                        </pic:spPr>
                      </pic:pic>
                    </a:graphicData>
                  </a:graphic>
                </wp:inline>
              </w:drawing>
            </w:r>
          </w:p>
          <w:p>
            <w:pPr>
              <w:keepNext/>
              <w:spacing w:before="40" w:after="160"/>
              <w:jc w:val="center"/>
            </w:pPr>
            <w:r>
              <w:rPr>
                <w:rFonts w:ascii="Calibri" w:hAnsi="Calibri"/>
                <w:b/>
                <w:sz w:val="20"/>
              </w:rPr>
              <w:t>Figure 15.4: Multi-Stage Docker Image Build, Layer Optimization and Registry Publication</w:t>
            </w:r>
          </w:p>
          <w:p>
            <w:pPr>
              <w:keepNext/>
              <w:spacing w:before="160" w:after="60" w:line="276" w:lineRule="auto"/>
            </w:pPr>
            <w:r>
              <w:rPr>
                <w:rFonts w:ascii="Calibri" w:hAnsi="Calibri"/>
                <w:b/>
                <w:sz w:val="24"/>
              </w:rPr>
              <w:t>5. Declarative Configuration Management, Strict Idempotency &amp; Rollback</w:t>
            </w:r>
          </w:p>
          <w:p>
            <w:pPr>
              <w:spacing w:before="20" w:after="60" w:line="276" w:lineRule="auto"/>
            </w:pPr>
            <w:r>
              <w:rPr>
                <w:rFonts w:ascii="Calibri" w:hAnsi="Calibri"/>
                <w:sz w:val="22"/>
              </w:rPr>
              <w:t>Target host provisioning is automated through Ansible Core 2.16.5, eliminating manual server configuration drift and human configuration errors. The Ansible inventory (ansible/hosts.ini) defines production target crmp-prod-node01, while playbook.yml establishes the server baseline across 11 tasks:</w:t>
            </w:r>
          </w:p>
          <w:p>
            <w:pPr>
              <w:spacing w:before="20" w:after="60" w:line="276" w:lineRule="auto"/>
            </w:pPr>
            <w:r>
              <w:rPr>
                <w:rFonts w:ascii="Calibri" w:hAnsi="Calibri"/>
                <w:sz w:val="22"/>
              </w:rPr>
              <w:t>Verifies host architecture facts, installs system utilities (curl, wget, git, ufw), configures OpenJDK 21, enables the Docker Engine daemon, provisions crmpuser, constructs the hardened /opt/review-app directory layout (mode 0755), deploys application properties from Jinja2 templates, opens firewall port 8080/tcp, launches the versioned container, and verifies health probes.</w:t>
            </w:r>
          </w:p>
          <w:p>
            <w:pPr>
              <w:spacing w:before="20" w:after="60" w:line="276" w:lineRule="auto"/>
            </w:pPr>
            <w:r>
              <w:rPr>
                <w:rFonts w:ascii="Calibri" w:hAnsi="Calibri"/>
                <w:sz w:val="22"/>
              </w:rPr>
              <w:t>A defining benchmark of production-grade configuration management is strict mathematical idempotency: running the playbook against a newly provisioned machine produces ok=11, changed=8, failed=0; re-executing the identical playbook against the live node produces ok=11, changed=0, failed=0. This proves that Ansible queries state before acting and avoids disruptive side-effects.</w:t>
            </w:r>
          </w:p>
          <w:p>
            <w:pPr>
              <w:spacing w:before="20" w:after="60" w:line="276" w:lineRule="auto"/>
            </w:pPr>
            <w:r>
              <w:rPr>
                <w:rFonts w:ascii="Calibri" w:hAnsi="Calibri"/>
                <w:sz w:val="22"/>
              </w:rPr>
              <w:t>To ensure operational resilience against bad rollouts, an automated rollback playbook (ansible/rollback.yml) is integrated. If health probes fail post-deployment, the rollback workflow halts the defective container, restores the previous stable release tag (crmp:v1.0.0), and verifies HTTP 200 health in under 2.8 seconds.</w:t>
            </w:r>
          </w:p>
          <w:p>
            <w:pPr>
              <w:keepNext/>
              <w:spacing w:before="120" w:after="40"/>
              <w:jc w:val="center"/>
            </w:pPr>
            <w:r>
              <w:drawing>
                <wp:inline xmlns:a="http://schemas.openxmlformats.org/drawingml/2006/main" xmlns:pic="http://schemas.openxmlformats.org/drawingml/2006/picture">
                  <wp:extent cx="5120640" cy="3008002"/>
                  <wp:docPr id="6" name="Picture 6"/>
                  <wp:cNvGraphicFramePr>
                    <a:graphicFrameLocks noChangeAspect="1"/>
                  </wp:cNvGraphicFramePr>
                  <a:graphic>
                    <a:graphicData uri="http://schemas.openxmlformats.org/drawingml/2006/picture">
                      <pic:pic>
                        <pic:nvPicPr>
                          <pic:cNvPr id="0" name="figure_15_5_ansible_provisioning_and_idempotency.png"/>
                          <pic:cNvPicPr/>
                        </pic:nvPicPr>
                        <pic:blipFill>
                          <a:blip r:embed="rId27"/>
                          <a:stretch>
                            <a:fillRect/>
                          </a:stretch>
                        </pic:blipFill>
                        <pic:spPr>
                          <a:xfrm>
                            <a:off x="0" y="0"/>
                            <a:ext cx="5120640" cy="3008002"/>
                          </a:xfrm>
                          <a:prstGeom prst="rect"/>
                        </pic:spPr>
                      </pic:pic>
                    </a:graphicData>
                  </a:graphic>
                </wp:inline>
              </w:drawing>
            </w:r>
          </w:p>
          <w:p>
            <w:pPr>
              <w:keepNext/>
              <w:spacing w:before="40" w:after="160"/>
              <w:jc w:val="center"/>
            </w:pPr>
            <w:r>
              <w:rPr>
                <w:rFonts w:ascii="Calibri" w:hAnsi="Calibri"/>
                <w:b/>
                <w:sz w:val="20"/>
              </w:rPr>
              <w:t>Figure 15.5: Ansible Configuration Management Playbook Execution &amp; Strict Idempotency Evidence</w:t>
            </w:r>
          </w:p>
          <w:p>
            <w:pPr>
              <w:keepNext/>
              <w:spacing w:before="160" w:after="60" w:line="276" w:lineRule="auto"/>
            </w:pPr>
            <w:r>
              <w:rPr>
                <w:rFonts w:ascii="Calibri" w:hAnsi="Calibri"/>
                <w:b/>
                <w:sz w:val="24"/>
              </w:rPr>
              <w:t>6. Live Application Deployment, Actuator Telemetry &amp; Operational Health</w:t>
            </w:r>
          </w:p>
          <w:p>
            <w:pPr>
              <w:spacing w:before="20" w:after="60" w:line="276" w:lineRule="auto"/>
            </w:pPr>
            <w:r>
              <w:rPr>
                <w:rFonts w:ascii="Calibri" w:hAnsi="Calibri"/>
                <w:sz w:val="22"/>
              </w:rPr>
              <w:t>The running Customer Review Moderation Portal on port 8080 delivers all five core MVP requirements defined in Task 1:</w:t>
            </w:r>
          </w:p>
          <w:p>
            <w:pPr>
              <w:spacing w:before="20" w:after="60" w:line="276" w:lineRule="auto"/>
            </w:pPr>
            <w:r>
              <w:rPr>
                <w:rFonts w:ascii="Calibri" w:hAnsi="Calibri"/>
                <w:b/>
                <w:sz w:val="22"/>
              </w:rPr>
              <w:t>1. Feedback Ingestion &amp; Validation -</w:t>
            </w:r>
            <w:r>
              <w:rPr>
                <w:rFonts w:ascii="Calibri" w:hAnsi="Calibri"/>
                <w:sz w:val="22"/>
              </w:rPr>
              <w:t xml:space="preserve"> Validates product ID, product name, reviewer name, email, star rating (1 to 5), and comments. Heuristic spam detection automatically flags suspicious promotional content.</w:t>
            </w:r>
          </w:p>
          <w:p>
            <w:pPr>
              <w:spacing w:before="20" w:after="60" w:line="276" w:lineRule="auto"/>
            </w:pPr>
            <w:r>
              <w:rPr>
                <w:rFonts w:ascii="Calibri" w:hAnsi="Calibri"/>
                <w:b/>
                <w:sz w:val="22"/>
              </w:rPr>
              <w:t>2. Review Directory &amp; Moderation Queue -</w:t>
            </w:r>
            <w:r>
              <w:rPr>
                <w:rFonts w:ascii="Calibri" w:hAnsi="Calibri"/>
                <w:sz w:val="22"/>
              </w:rPr>
              <w:t xml:space="preserve"> Displays ingested reviews in a searchable, paginated table with real-time text lookup and status badge filtering.</w:t>
            </w:r>
          </w:p>
          <w:p>
            <w:pPr>
              <w:spacing w:before="20" w:after="60" w:line="276" w:lineRule="auto"/>
            </w:pPr>
            <w:r>
              <w:rPr>
                <w:rFonts w:ascii="Calibri" w:hAnsi="Calibri"/>
                <w:b/>
                <w:sz w:val="22"/>
              </w:rPr>
              <w:t>3. Role-Based Moderation Lifecycle -</w:t>
            </w:r>
            <w:r>
              <w:rPr>
                <w:rFonts w:ascii="Calibri" w:hAnsi="Calibri"/>
                <w:sz w:val="22"/>
              </w:rPr>
              <w:t xml:space="preserve"> State machine governs transitions: PENDING -&gt; APPROVED -&gt; REJECTED / FLAGGED with optimistic UI updates.</w:t>
            </w:r>
          </w:p>
          <w:p>
            <w:pPr>
              <w:spacing w:before="20" w:after="60" w:line="276" w:lineRule="auto"/>
            </w:pPr>
            <w:r>
              <w:rPr>
                <w:rFonts w:ascii="Calibri" w:hAnsi="Calibri"/>
                <w:b/>
                <w:sz w:val="22"/>
              </w:rPr>
              <w:t>4. Real-Time Summary KPI Dashboard -</w:t>
            </w:r>
            <w:r>
              <w:rPr>
                <w:rFonts w:ascii="Calibri" w:hAnsi="Calibri"/>
                <w:sz w:val="22"/>
              </w:rPr>
              <w:t xml:space="preserve"> Live cards summarize Total Reviews, Moderation Queue (Pending), Approved Reviews, Flagged Spam, and Average Rating.</w:t>
            </w:r>
          </w:p>
          <w:p>
            <w:pPr>
              <w:spacing w:before="20" w:after="60" w:line="276" w:lineRule="auto"/>
            </w:pPr>
            <w:r>
              <w:rPr>
                <w:rFonts w:ascii="Calibri" w:hAnsi="Calibri"/>
                <w:b/>
                <w:sz w:val="22"/>
              </w:rPr>
              <w:t>5. Production Actuator Telemetry Probe -</w:t>
            </w:r>
            <w:r>
              <w:rPr>
                <w:rFonts w:ascii="Calibri" w:hAnsi="Calibri"/>
                <w:sz w:val="22"/>
              </w:rPr>
              <w:t xml:space="preserve"> Spring Boot Actuator (/actuator/health) provides structured JSON telemetry validating in-memory H2 database connectivity, free disk space (382 GB), and JVM ping.</w:t>
            </w:r>
          </w:p>
          <w:p>
            <w:pPr>
              <w:keepNext/>
              <w:spacing w:before="120" w:after="40"/>
              <w:jc w:val="center"/>
            </w:pPr>
            <w:r>
              <w:drawing>
                <wp:inline xmlns:a="http://schemas.openxmlformats.org/drawingml/2006/main" xmlns:pic="http://schemas.openxmlformats.org/drawingml/2006/picture">
                  <wp:extent cx="5120640" cy="3189171"/>
                  <wp:docPr id="7" name="Picture 7"/>
                  <wp:cNvGraphicFramePr>
                    <a:graphicFrameLocks noChangeAspect="1"/>
                  </wp:cNvGraphicFramePr>
                  <a:graphic>
                    <a:graphicData uri="http://schemas.openxmlformats.org/drawingml/2006/picture">
                      <pic:pic>
                        <pic:nvPicPr>
                          <pic:cNvPr id="0" name="figure_15_6_production_web_portal_and_health_telemetry.png"/>
                          <pic:cNvPicPr/>
                        </pic:nvPicPr>
                        <pic:blipFill>
                          <a:blip r:embed="rId28"/>
                          <a:stretch>
                            <a:fillRect/>
                          </a:stretch>
                        </pic:blipFill>
                        <pic:spPr>
                          <a:xfrm>
                            <a:off x="0" y="0"/>
                            <a:ext cx="5120640" cy="3189171"/>
                          </a:xfrm>
                          <a:prstGeom prst="rect"/>
                        </pic:spPr>
                      </pic:pic>
                    </a:graphicData>
                  </a:graphic>
                </wp:inline>
              </w:drawing>
            </w:r>
          </w:p>
          <w:p>
            <w:pPr>
              <w:keepNext/>
              <w:spacing w:before="40" w:after="160"/>
              <w:jc w:val="center"/>
            </w:pPr>
            <w:r>
              <w:rPr>
                <w:rFonts w:ascii="Calibri" w:hAnsi="Calibri"/>
                <w:b/>
                <w:sz w:val="20"/>
              </w:rPr>
              <w:t>Figure 15.6: Production Customer Review Moderation Portal UI Dashboard &amp; Live Telemetry</w:t>
            </w:r>
          </w:p>
          <w:p>
            <w:pPr>
              <w:keepNext/>
              <w:spacing w:before="160" w:after="60" w:line="276" w:lineRule="auto"/>
            </w:pPr>
            <w:r>
              <w:rPr>
                <w:rFonts w:ascii="Calibri" w:hAnsi="Calibri"/>
                <w:b/>
                <w:sz w:val="24"/>
              </w:rPr>
              <w:t>7. Enterprise DevOps Troubleshooting Guide &amp; Incident Resolution</w:t>
            </w:r>
          </w:p>
          <w:p>
            <w:pPr>
              <w:spacing w:before="20" w:after="60" w:line="276" w:lineRule="auto"/>
            </w:pPr>
            <w:r>
              <w:rPr>
                <w:rFonts w:ascii="Calibri" w:hAnsi="Calibri"/>
                <w:sz w:val="22"/>
              </w:rPr>
              <w:t>Throughout the implementation of Tasks 1 through 15, numerous real-world infrastructure, build, and runtime issues were encountered, diagnosed, and resolved. The following troubleshooting matrix captures ten critical incident scenarios, root-cause mechanisms, and concrete remediation procedures: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800" w:type="dxa"/>
                  <w:shd w:fill="EAECEE"/>
                </w:tcPr>
                <w:p>
                  <w:pPr>
                    <w:spacing w:before="40" w:after="40" w:line="276" w:lineRule="auto"/>
                    <w:jc w:val="left"/>
                  </w:pPr>
                  <w:r>
                    <w:rPr>
                      <w:rFonts w:ascii="Calibri" w:hAnsi="Calibri"/>
                      <w:b/>
                      <w:sz w:val="19"/>
                    </w:rPr>
                    <w:t>Incident ID &amp; Failure Scenario</w:t>
                  </w:r>
                </w:p>
              </w:tc>
              <w:tc>
                <w:tcPr>
                  <w:tcW w:w="2000" w:type="dxa"/>
                  <w:shd w:fill="EAECEE"/>
                </w:tcPr>
                <w:p>
                  <w:pPr>
                    <w:spacing w:before="40" w:after="40" w:line="276" w:lineRule="auto"/>
                    <w:jc w:val="left"/>
                  </w:pPr>
                  <w:r>
                    <w:rPr>
                      <w:rFonts w:ascii="Calibri" w:hAnsi="Calibri"/>
                      <w:b/>
                      <w:sz w:val="19"/>
                    </w:rPr>
                    <w:t>Root Cause Mechanism</w:t>
                  </w:r>
                </w:p>
              </w:tc>
              <w:tc>
                <w:tcPr>
                  <w:tcW w:w="2400" w:type="dxa"/>
                  <w:shd w:fill="EAECEE"/>
                </w:tcPr>
                <w:p>
                  <w:pPr>
                    <w:spacing w:before="40" w:after="40" w:line="276" w:lineRule="auto"/>
                    <w:jc w:val="left"/>
                  </w:pPr>
                  <w:r>
                    <w:rPr>
                      <w:rFonts w:ascii="Calibri" w:hAnsi="Calibri"/>
                      <w:b/>
                      <w:sz w:val="19"/>
                    </w:rPr>
                    <w:t>Remediation &amp; Resolution Strategy</w:t>
                  </w:r>
                </w:p>
              </w:tc>
              <w:tc>
                <w:tcPr>
                  <w:tcW w:w="1700" w:type="dxa"/>
                  <w:shd w:fill="EAECEE"/>
                </w:tcPr>
                <w:p>
                  <w:pPr>
                    <w:spacing w:before="40" w:after="40" w:line="276" w:lineRule="auto"/>
                    <w:jc w:val="left"/>
                  </w:pPr>
                  <w:r>
                    <w:rPr>
                      <w:rFonts w:ascii="Calibri" w:hAnsi="Calibri"/>
                      <w:b/>
                      <w:sz w:val="19"/>
                    </w:rPr>
                    <w:t>Post-Fix Validation Gate</w:t>
                  </w:r>
                </w:p>
              </w:tc>
            </w:tr>
            <w:tr>
              <w:trPr>
                <w:cantSplit/>
              </w:trPr>
              <w:tc>
                <w:tcPr>
                  <w:tcW w:w="1800" w:type="dxa"/>
                </w:tcPr>
                <w:p>
                  <w:pPr>
                    <w:spacing w:before="40" w:after="40" w:line="276" w:lineRule="auto"/>
                    <w:jc w:val="left"/>
                  </w:pPr>
                  <w:r>
                    <w:rPr>
                      <w:rFonts w:ascii="Calibri" w:hAnsi="Calibri"/>
                      <w:b/>
                      <w:sz w:val="17"/>
                    </w:rPr>
                    <w:t>INC-01: Git Merge Conflict (Task 6)</w:t>
                  </w:r>
                </w:p>
              </w:tc>
              <w:tc>
                <w:tcPr>
                  <w:tcW w:w="2000" w:type="dxa"/>
                </w:tcPr>
                <w:p>
                  <w:pPr>
                    <w:spacing w:before="40" w:after="40" w:line="276" w:lineRule="auto"/>
                    <w:jc w:val="left"/>
                  </w:pPr>
                  <w:r>
                    <w:rPr>
                      <w:rFonts w:ascii="Calibri" w:hAnsi="Calibri"/>
                      <w:b w:val="0"/>
                      <w:sz w:val="17"/>
                    </w:rPr>
                    <w:t>Concurrent edits to ReviewService.java on feature and dev branches</w:t>
                  </w:r>
                </w:p>
              </w:tc>
              <w:tc>
                <w:tcPr>
                  <w:tcW w:w="2400" w:type="dxa"/>
                </w:tcPr>
                <w:p>
                  <w:pPr>
                    <w:spacing w:before="40" w:after="40" w:line="276" w:lineRule="auto"/>
                    <w:jc w:val="left"/>
                  </w:pPr>
                  <w:r>
                    <w:rPr>
                      <w:rFonts w:ascii="Calibri" w:hAnsi="Calibri"/>
                      <w:b w:val="0"/>
                      <w:sz w:val="17"/>
                    </w:rPr>
                    <w:t>Inspect conflict markers (&lt;&lt;&lt;&lt;&lt;&lt;&lt;, =======), manually reconcile logic, git add &amp; release tag v1.0.0</w:t>
                  </w:r>
                </w:p>
              </w:tc>
              <w:tc>
                <w:tcPr>
                  <w:tcW w:w="1700" w:type="dxa"/>
                </w:tcPr>
                <w:p>
                  <w:pPr>
                    <w:spacing w:before="40" w:after="40" w:line="276" w:lineRule="auto"/>
                    <w:jc w:val="left"/>
                  </w:pPr>
                  <w:r>
                    <w:rPr>
                      <w:rFonts w:ascii="Calibri" w:hAnsi="Calibri"/>
                      <w:b w:val="0"/>
                      <w:sz w:val="17"/>
                    </w:rPr>
                    <w:t>git log --graph --oneline; build passes</w:t>
                  </w:r>
                </w:p>
              </w:tc>
            </w:tr>
            <w:tr>
              <w:trPr>
                <w:cantSplit/>
              </w:trPr>
              <w:tc>
                <w:tcPr>
                  <w:tcW w:w="1800" w:type="dxa"/>
                </w:tcPr>
                <w:p>
                  <w:pPr>
                    <w:spacing w:before="40" w:after="40" w:line="276" w:lineRule="auto"/>
                    <w:jc w:val="left"/>
                  </w:pPr>
                  <w:r>
                    <w:rPr>
                      <w:rFonts w:ascii="Calibri" w:hAnsi="Calibri"/>
                      <w:b/>
                      <w:sz w:val="17"/>
                    </w:rPr>
                    <w:t>INC-02: Stale Element Reference (Task 9)</w:t>
                  </w:r>
                </w:p>
              </w:tc>
              <w:tc>
                <w:tcPr>
                  <w:tcW w:w="2000" w:type="dxa"/>
                </w:tcPr>
                <w:p>
                  <w:pPr>
                    <w:spacing w:before="40" w:after="40" w:line="276" w:lineRule="auto"/>
                    <w:jc w:val="left"/>
                  </w:pPr>
                  <w:r>
                    <w:rPr>
                      <w:rFonts w:ascii="Calibri" w:hAnsi="Calibri"/>
                      <w:b w:val="0"/>
                      <w:sz w:val="17"/>
                    </w:rPr>
                    <w:t>Selenium clicked button while form POST page reload was in flight</w:t>
                  </w:r>
                </w:p>
              </w:tc>
              <w:tc>
                <w:tcPr>
                  <w:tcW w:w="2400" w:type="dxa"/>
                </w:tcPr>
                <w:p>
                  <w:pPr>
                    <w:spacing w:before="40" w:after="40" w:line="276" w:lineRule="auto"/>
                    <w:jc w:val="left"/>
                  </w:pPr>
                  <w:r>
                    <w:rPr>
                      <w:rFonts w:ascii="Calibri" w:hAnsi="Calibri"/>
                      <w:b w:val="0"/>
                      <w:sz w:val="17"/>
                    </w:rPr>
                    <w:t>Updated testJourney4 to wait on ExpectedConditions.textToBePresentInElementLocated for both alert and badge</w:t>
                  </w:r>
                </w:p>
              </w:tc>
              <w:tc>
                <w:tcPr>
                  <w:tcW w:w="1700" w:type="dxa"/>
                </w:tcPr>
                <w:p>
                  <w:pPr>
                    <w:spacing w:before="40" w:after="40" w:line="276" w:lineRule="auto"/>
                    <w:jc w:val="left"/>
                  </w:pPr>
                  <w:r>
                    <w:rPr>
                      <w:rFonts w:ascii="Calibri" w:hAnsi="Calibri"/>
                      <w:b w:val="0"/>
                      <w:sz w:val="17"/>
                    </w:rPr>
                    <w:t>mvn test passes 15/15 cleanly (11.8s)</w:t>
                  </w:r>
                </w:p>
              </w:tc>
            </w:tr>
            <w:tr>
              <w:trPr>
                <w:cantSplit/>
              </w:trPr>
              <w:tc>
                <w:tcPr>
                  <w:tcW w:w="1800" w:type="dxa"/>
                </w:tcPr>
                <w:p>
                  <w:pPr>
                    <w:spacing w:before="40" w:after="40" w:line="276" w:lineRule="auto"/>
                    <w:jc w:val="left"/>
                  </w:pPr>
                  <w:r>
                    <w:rPr>
                      <w:rFonts w:ascii="Calibri" w:hAnsi="Calibri"/>
                      <w:b/>
                      <w:sz w:val="17"/>
                    </w:rPr>
                    <w:t>INC-03: CI Test Assertion Abort (Task 10)</w:t>
                  </w:r>
                </w:p>
              </w:tc>
              <w:tc>
                <w:tcPr>
                  <w:tcW w:w="2000" w:type="dxa"/>
                </w:tcPr>
                <w:p>
                  <w:pPr>
                    <w:spacing w:before="40" w:after="40" w:line="276" w:lineRule="auto"/>
                    <w:jc w:val="left"/>
                  </w:pPr>
                  <w:r>
                    <w:rPr>
                      <w:rFonts w:ascii="Calibri" w:hAnsi="Calibri"/>
                      <w:b w:val="0"/>
                      <w:sz w:val="17"/>
                    </w:rPr>
                    <w:t>Intentional spam keyword defect bypassed triage, failing test suite</w:t>
                  </w:r>
                </w:p>
              </w:tc>
              <w:tc>
                <w:tcPr>
                  <w:tcW w:w="2400" w:type="dxa"/>
                </w:tcPr>
                <w:p>
                  <w:pPr>
                    <w:spacing w:before="40" w:after="40" w:line="276" w:lineRule="auto"/>
                    <w:jc w:val="left"/>
                  </w:pPr>
                  <w:r>
                    <w:rPr>
                      <w:rFonts w:ascii="Calibri" w:hAnsi="Calibri"/>
                      <w:b w:val="0"/>
                      <w:sz w:val="17"/>
                    </w:rPr>
                    <w:t>Jenkins aborts build before Docker packaging; commit bug fix 91aeb11; rerun pipeline successfully</w:t>
                  </w:r>
                </w:p>
              </w:tc>
              <w:tc>
                <w:tcPr>
                  <w:tcW w:w="1700" w:type="dxa"/>
                </w:tcPr>
                <w:p>
                  <w:pPr>
                    <w:spacing w:before="40" w:after="40" w:line="276" w:lineRule="auto"/>
                    <w:jc w:val="left"/>
                  </w:pPr>
                  <w:r>
                    <w:rPr>
                      <w:rFonts w:ascii="Calibri" w:hAnsi="Calibri"/>
                      <w:b w:val="0"/>
                      <w:sz w:val="17"/>
                    </w:rPr>
                    <w:t>Jenkins build status transitions Blue</w:t>
                  </w:r>
                </w:p>
              </w:tc>
            </w:tr>
            <w:tr>
              <w:trPr>
                <w:cantSplit/>
              </w:trPr>
              <w:tc>
                <w:tcPr>
                  <w:tcW w:w="1800" w:type="dxa"/>
                </w:tcPr>
                <w:p>
                  <w:pPr>
                    <w:spacing w:before="40" w:after="40" w:line="276" w:lineRule="auto"/>
                    <w:jc w:val="left"/>
                  </w:pPr>
                  <w:r>
                    <w:rPr>
                      <w:rFonts w:ascii="Calibri" w:hAnsi="Calibri"/>
                      <w:b/>
                      <w:sz w:val="17"/>
                    </w:rPr>
                    <w:t>INC-04: Port 8080 Collision (Task 11)</w:t>
                  </w:r>
                </w:p>
              </w:tc>
              <w:tc>
                <w:tcPr>
                  <w:tcW w:w="2000" w:type="dxa"/>
                </w:tcPr>
                <w:p>
                  <w:pPr>
                    <w:spacing w:before="40" w:after="40" w:line="276" w:lineRule="auto"/>
                    <w:jc w:val="left"/>
                  </w:pPr>
                  <w:r>
                    <w:rPr>
                      <w:rFonts w:ascii="Calibri" w:hAnsi="Calibri"/>
                      <w:b w:val="0"/>
                      <w:sz w:val="17"/>
                    </w:rPr>
                    <w:t>Prior container instance holding host port 8080 during fresh run</w:t>
                  </w:r>
                </w:p>
              </w:tc>
              <w:tc>
                <w:tcPr>
                  <w:tcW w:w="2400" w:type="dxa"/>
                </w:tcPr>
                <w:p>
                  <w:pPr>
                    <w:spacing w:before="40" w:after="40" w:line="276" w:lineRule="auto"/>
                    <w:jc w:val="left"/>
                  </w:pPr>
                  <w:r>
                    <w:rPr>
                      <w:rFonts w:ascii="Calibri" w:hAnsi="Calibri"/>
                      <w:b w:val="0"/>
                      <w:sz w:val="17"/>
                    </w:rPr>
                    <w:t>Executed docker stop crmp-app &amp;&amp; docker rm crmp-app, parameterizing host port in run script</w:t>
                  </w:r>
                </w:p>
              </w:tc>
              <w:tc>
                <w:tcPr>
                  <w:tcW w:w="1700" w:type="dxa"/>
                </w:tcPr>
                <w:p>
                  <w:pPr>
                    <w:spacing w:before="40" w:after="40" w:line="276" w:lineRule="auto"/>
                    <w:jc w:val="left"/>
                  </w:pPr>
                  <w:r>
                    <w:rPr>
                      <w:rFonts w:ascii="Calibri" w:hAnsi="Calibri"/>
                      <w:b w:val="0"/>
                      <w:sz w:val="17"/>
                    </w:rPr>
                    <w:t>docker ps confirms clean port 8080 binding</w:t>
                  </w:r>
                </w:p>
              </w:tc>
            </w:tr>
            <w:tr>
              <w:trPr>
                <w:cantSplit/>
              </w:trPr>
              <w:tc>
                <w:tcPr>
                  <w:tcW w:w="1800" w:type="dxa"/>
                </w:tcPr>
                <w:p>
                  <w:pPr>
                    <w:spacing w:before="40" w:after="40" w:line="276" w:lineRule="auto"/>
                    <w:jc w:val="left"/>
                  </w:pPr>
                  <w:r>
                    <w:rPr>
                      <w:rFonts w:ascii="Calibri" w:hAnsi="Calibri"/>
                      <w:b/>
                      <w:sz w:val="17"/>
                    </w:rPr>
                    <w:t>INC-05: Docker Context Bloat (Task 11)</w:t>
                  </w:r>
                </w:p>
              </w:tc>
              <w:tc>
                <w:tcPr>
                  <w:tcW w:w="2000" w:type="dxa"/>
                </w:tcPr>
                <w:p>
                  <w:pPr>
                    <w:spacing w:before="40" w:after="40" w:line="276" w:lineRule="auto"/>
                    <w:jc w:val="left"/>
                  </w:pPr>
                  <w:r>
                    <w:rPr>
                      <w:rFonts w:ascii="Calibri" w:hAnsi="Calibri"/>
                      <w:b w:val="0"/>
                      <w:sz w:val="17"/>
                    </w:rPr>
                    <w:t>Copying target/ and .git/ into build context slowed image creation</w:t>
                  </w:r>
                </w:p>
              </w:tc>
              <w:tc>
                <w:tcPr>
                  <w:tcW w:w="2400" w:type="dxa"/>
                </w:tcPr>
                <w:p>
                  <w:pPr>
                    <w:spacing w:before="40" w:after="40" w:line="276" w:lineRule="auto"/>
                    <w:jc w:val="left"/>
                  </w:pPr>
                  <w:r>
                    <w:rPr>
                      <w:rFonts w:ascii="Calibri" w:hAnsi="Calibri"/>
                      <w:b w:val="0"/>
                      <w:sz w:val="17"/>
                    </w:rPr>
                    <w:t>Configured strict .dockerignore excluding target/, .git/, *.log, reducing context to 260 bytes</w:t>
                  </w:r>
                </w:p>
              </w:tc>
              <w:tc>
                <w:tcPr>
                  <w:tcW w:w="1700" w:type="dxa"/>
                </w:tcPr>
                <w:p>
                  <w:pPr>
                    <w:spacing w:before="40" w:after="40" w:line="276" w:lineRule="auto"/>
                    <w:jc w:val="left"/>
                  </w:pPr>
                  <w:r>
                    <w:rPr>
                      <w:rFonts w:ascii="Calibri" w:hAnsi="Calibri"/>
                      <w:b w:val="0"/>
                      <w:sz w:val="17"/>
                    </w:rPr>
                    <w:t>Context transfer time dropped to &lt;0.1s</w:t>
                  </w:r>
                </w:p>
              </w:tc>
            </w:tr>
            <w:tr>
              <w:trPr>
                <w:cantSplit/>
              </w:trPr>
              <w:tc>
                <w:tcPr>
                  <w:tcW w:w="1800" w:type="dxa"/>
                </w:tcPr>
                <w:p>
                  <w:pPr>
                    <w:spacing w:before="40" w:after="40" w:line="276" w:lineRule="auto"/>
                    <w:jc w:val="left"/>
                  </w:pPr>
                  <w:r>
                    <w:rPr>
                      <w:rFonts w:ascii="Calibri" w:hAnsi="Calibri"/>
                      <w:b/>
                      <w:sz w:val="17"/>
                    </w:rPr>
                    <w:t>INC-06: Registry Push Auth Error (Task 12)</w:t>
                  </w:r>
                </w:p>
              </w:tc>
              <w:tc>
                <w:tcPr>
                  <w:tcW w:w="2000" w:type="dxa"/>
                </w:tcPr>
                <w:p>
                  <w:pPr>
                    <w:spacing w:before="40" w:after="40" w:line="276" w:lineRule="auto"/>
                    <w:jc w:val="left"/>
                  </w:pPr>
                  <w:r>
                    <w:rPr>
                      <w:rFonts w:ascii="Calibri" w:hAnsi="Calibri"/>
                      <w:b w:val="0"/>
                      <w:sz w:val="17"/>
                    </w:rPr>
                    <w:t>Docker daemon unauthenticated when pushing to docker.io registry</w:t>
                  </w:r>
                </w:p>
              </w:tc>
              <w:tc>
                <w:tcPr>
                  <w:tcW w:w="2400" w:type="dxa"/>
                </w:tcPr>
                <w:p>
                  <w:pPr>
                    <w:spacing w:before="40" w:after="40" w:line="276" w:lineRule="auto"/>
                    <w:jc w:val="left"/>
                  </w:pPr>
                  <w:r>
                    <w:rPr>
                      <w:rFonts w:ascii="Calibri" w:hAnsi="Calibri"/>
                      <w:b w:val="0"/>
                      <w:sz w:val="17"/>
                    </w:rPr>
                    <w:t>Configured docker login with secure personal access token, tagging image with full registry prefix</w:t>
                  </w:r>
                </w:p>
              </w:tc>
              <w:tc>
                <w:tcPr>
                  <w:tcW w:w="1700" w:type="dxa"/>
                </w:tcPr>
                <w:p>
                  <w:pPr>
                    <w:spacing w:before="40" w:after="40" w:line="276" w:lineRule="auto"/>
                    <w:jc w:val="left"/>
                  </w:pPr>
                  <w:r>
                    <w:rPr>
                      <w:rFonts w:ascii="Calibri" w:hAnsi="Calibri"/>
                      <w:b w:val="0"/>
                      <w:sz w:val="17"/>
                    </w:rPr>
                    <w:t>docker push succeeds with sha256 digest</w:t>
                  </w:r>
                </w:p>
              </w:tc>
            </w:tr>
            <w:tr>
              <w:trPr>
                <w:cantSplit/>
              </w:trPr>
              <w:tc>
                <w:tcPr>
                  <w:tcW w:w="1800" w:type="dxa"/>
                </w:tcPr>
                <w:p>
                  <w:pPr>
                    <w:spacing w:before="40" w:after="40" w:line="276" w:lineRule="auto"/>
                    <w:jc w:val="left"/>
                  </w:pPr>
                  <w:r>
                    <w:rPr>
                      <w:rFonts w:ascii="Calibri" w:hAnsi="Calibri"/>
                      <w:b/>
                      <w:sz w:val="17"/>
                    </w:rPr>
                    <w:t>INC-07: Ansible Host Unreachable (Task 13)</w:t>
                  </w:r>
                </w:p>
              </w:tc>
              <w:tc>
                <w:tcPr>
                  <w:tcW w:w="2000" w:type="dxa"/>
                </w:tcPr>
                <w:p>
                  <w:pPr>
                    <w:spacing w:before="40" w:after="40" w:line="276" w:lineRule="auto"/>
                    <w:jc w:val="left"/>
                  </w:pPr>
                  <w:r>
                    <w:rPr>
                      <w:rFonts w:ascii="Calibri" w:hAnsi="Calibri"/>
                      <w:b w:val="0"/>
                      <w:sz w:val="17"/>
                    </w:rPr>
                    <w:t>SSH daemon rejected connection due to missing host key verification</w:t>
                  </w:r>
                </w:p>
              </w:tc>
              <w:tc>
                <w:tcPr>
                  <w:tcW w:w="2400" w:type="dxa"/>
                </w:tcPr>
                <w:p>
                  <w:pPr>
                    <w:spacing w:before="40" w:after="40" w:line="276" w:lineRule="auto"/>
                    <w:jc w:val="left"/>
                  </w:pPr>
                  <w:r>
                    <w:rPr>
                      <w:rFonts w:ascii="Calibri" w:hAnsi="Calibri"/>
                      <w:b w:val="0"/>
                      <w:sz w:val="17"/>
                    </w:rPr>
                    <w:t>Configured ansible.cfg with host_key_checking = False and private_key_file specification</w:t>
                  </w:r>
                </w:p>
              </w:tc>
              <w:tc>
                <w:tcPr>
                  <w:tcW w:w="1700" w:type="dxa"/>
                </w:tcPr>
                <w:p>
                  <w:pPr>
                    <w:spacing w:before="40" w:after="40" w:line="276" w:lineRule="auto"/>
                    <w:jc w:val="left"/>
                  </w:pPr>
                  <w:r>
                    <w:rPr>
                      <w:rFonts w:ascii="Calibri" w:hAnsi="Calibri"/>
                      <w:b w:val="0"/>
                      <w:sz w:val="17"/>
                    </w:rPr>
                    <w:t>ansible all -m ping returns pong SUCCESS</w:t>
                  </w:r>
                </w:p>
              </w:tc>
            </w:tr>
            <w:tr>
              <w:trPr>
                <w:cantSplit/>
              </w:trPr>
              <w:tc>
                <w:tcPr>
                  <w:tcW w:w="1800" w:type="dxa"/>
                </w:tcPr>
                <w:p>
                  <w:pPr>
                    <w:spacing w:before="40" w:after="40" w:line="276" w:lineRule="auto"/>
                    <w:jc w:val="left"/>
                  </w:pPr>
                  <w:r>
                    <w:rPr>
                      <w:rFonts w:ascii="Calibri" w:hAnsi="Calibri"/>
                      <w:b/>
                      <w:sz w:val="17"/>
                    </w:rPr>
                    <w:t>INC-08: Playbook Non-Idempotency (Task 14)</w:t>
                  </w:r>
                </w:p>
              </w:tc>
              <w:tc>
                <w:tcPr>
                  <w:tcW w:w="2000" w:type="dxa"/>
                </w:tcPr>
                <w:p>
                  <w:pPr>
                    <w:spacing w:before="40" w:after="40" w:line="276" w:lineRule="auto"/>
                    <w:jc w:val="left"/>
                  </w:pPr>
                  <w:r>
                    <w:rPr>
                      <w:rFonts w:ascii="Calibri" w:hAnsi="Calibri"/>
                      <w:b w:val="0"/>
                      <w:sz w:val="17"/>
                    </w:rPr>
                    <w:t>Unconditional shell module in Ansible playbook reported changed=true</w:t>
                  </w:r>
                </w:p>
              </w:tc>
              <w:tc>
                <w:tcPr>
                  <w:tcW w:w="2400" w:type="dxa"/>
                </w:tcPr>
                <w:p>
                  <w:pPr>
                    <w:spacing w:before="40" w:after="40" w:line="276" w:lineRule="auto"/>
                    <w:jc w:val="left"/>
                  </w:pPr>
                  <w:r>
                    <w:rPr>
                      <w:rFonts w:ascii="Calibri" w:hAnsi="Calibri"/>
                      <w:b w:val="0"/>
                      <w:sz w:val="17"/>
                    </w:rPr>
                    <w:t>Replaced raw shell commands with declarative modules (user, file, docker_container) and creates flags</w:t>
                  </w:r>
                </w:p>
              </w:tc>
              <w:tc>
                <w:tcPr>
                  <w:tcW w:w="1700" w:type="dxa"/>
                </w:tcPr>
                <w:p>
                  <w:pPr>
                    <w:spacing w:before="40" w:after="40" w:line="276" w:lineRule="auto"/>
                    <w:jc w:val="left"/>
                  </w:pPr>
                  <w:r>
                    <w:rPr>
                      <w:rFonts w:ascii="Calibri" w:hAnsi="Calibri"/>
                      <w:b w:val="0"/>
                      <w:sz w:val="17"/>
                    </w:rPr>
                    <w:t>Rerun yields ok=11 changed=0 failed=0</w:t>
                  </w:r>
                </w:p>
              </w:tc>
            </w:tr>
            <w:tr>
              <w:trPr>
                <w:cantSplit/>
              </w:trPr>
              <w:tc>
                <w:tcPr>
                  <w:tcW w:w="1800" w:type="dxa"/>
                </w:tcPr>
                <w:p>
                  <w:pPr>
                    <w:spacing w:before="40" w:after="40" w:line="276" w:lineRule="auto"/>
                    <w:jc w:val="left"/>
                  </w:pPr>
                  <w:r>
                    <w:rPr>
                      <w:rFonts w:ascii="Calibri" w:hAnsi="Calibri"/>
                      <w:b/>
                      <w:sz w:val="17"/>
                    </w:rPr>
                    <w:t>INC-09: Actuator Health Refusal (Task 14)</w:t>
                  </w:r>
                </w:p>
              </w:tc>
              <w:tc>
                <w:tcPr>
                  <w:tcW w:w="2000" w:type="dxa"/>
                </w:tcPr>
                <w:p>
                  <w:pPr>
                    <w:spacing w:before="40" w:after="40" w:line="276" w:lineRule="auto"/>
                    <w:jc w:val="left"/>
                  </w:pPr>
                  <w:r>
                    <w:rPr>
                      <w:rFonts w:ascii="Calibri" w:hAnsi="Calibri"/>
                      <w:b w:val="0"/>
                      <w:sz w:val="17"/>
                    </w:rPr>
                    <w:t>Health probe attempted before Spring Boot Tomcat server finished startup</w:t>
                  </w:r>
                </w:p>
              </w:tc>
              <w:tc>
                <w:tcPr>
                  <w:tcW w:w="2400" w:type="dxa"/>
                </w:tcPr>
                <w:p>
                  <w:pPr>
                    <w:spacing w:before="40" w:after="40" w:line="276" w:lineRule="auto"/>
                    <w:jc w:val="left"/>
                  </w:pPr>
                  <w:r>
                    <w:rPr>
                      <w:rFonts w:ascii="Calibri" w:hAnsi="Calibri"/>
                      <w:b w:val="0"/>
                      <w:sz w:val="17"/>
                    </w:rPr>
                    <w:t>Added retry loop and wait_for module targeting port 8080 before executing curl health check</w:t>
                  </w:r>
                </w:p>
              </w:tc>
              <w:tc>
                <w:tcPr>
                  <w:tcW w:w="1700" w:type="dxa"/>
                </w:tcPr>
                <w:p>
                  <w:pPr>
                    <w:spacing w:before="40" w:after="40" w:line="276" w:lineRule="auto"/>
                    <w:jc w:val="left"/>
                  </w:pPr>
                  <w:r>
                    <w:rPr>
                      <w:rFonts w:ascii="Calibri" w:hAnsi="Calibri"/>
                      <w:b w:val="0"/>
                      <w:sz w:val="17"/>
                    </w:rPr>
                    <w:t>HTTP 200 OK with status: UP confirmed</w:t>
                  </w:r>
                </w:p>
              </w:tc>
            </w:tr>
            <w:tr>
              <w:trPr>
                <w:cantSplit/>
              </w:trPr>
              <w:tc>
                <w:tcPr>
                  <w:tcW w:w="1800" w:type="dxa"/>
                </w:tcPr>
                <w:p>
                  <w:pPr>
                    <w:spacing w:before="40" w:after="40" w:line="276" w:lineRule="auto"/>
                    <w:jc w:val="left"/>
                  </w:pPr>
                  <w:r>
                    <w:rPr>
                      <w:rFonts w:ascii="Calibri" w:hAnsi="Calibri"/>
                      <w:b/>
                      <w:sz w:val="17"/>
                    </w:rPr>
                    <w:t>INC-10: Bad Container Deployment (Task 14)</w:t>
                  </w:r>
                </w:p>
              </w:tc>
              <w:tc>
                <w:tcPr>
                  <w:tcW w:w="2000" w:type="dxa"/>
                </w:tcPr>
                <w:p>
                  <w:pPr>
                    <w:spacing w:before="40" w:after="40" w:line="276" w:lineRule="auto"/>
                    <w:jc w:val="left"/>
                  </w:pPr>
                  <w:r>
                    <w:rPr>
                      <w:rFonts w:ascii="Calibri" w:hAnsi="Calibri"/>
                      <w:b w:val="0"/>
                      <w:sz w:val="17"/>
                    </w:rPr>
                    <w:t>Defective container image tag rolled out, causing runtime 500 errors</w:t>
                  </w:r>
                </w:p>
              </w:tc>
              <w:tc>
                <w:tcPr>
                  <w:tcW w:w="2400" w:type="dxa"/>
                </w:tcPr>
                <w:p>
                  <w:pPr>
                    <w:spacing w:before="40" w:after="40" w:line="276" w:lineRule="auto"/>
                    <w:jc w:val="left"/>
                  </w:pPr>
                  <w:r>
                    <w:rPr>
                      <w:rFonts w:ascii="Calibri" w:hAnsi="Calibri"/>
                      <w:b w:val="0"/>
                      <w:sz w:val="17"/>
                    </w:rPr>
                    <w:t>Executed ansible-playbook rollback.yml, restoring prior stable image crmp:v1.0.0 in 2.8 seconds</w:t>
                  </w:r>
                </w:p>
              </w:tc>
              <w:tc>
                <w:tcPr>
                  <w:tcW w:w="1700" w:type="dxa"/>
                </w:tcPr>
                <w:p>
                  <w:pPr>
                    <w:spacing w:before="40" w:after="40" w:line="276" w:lineRule="auto"/>
                    <w:jc w:val="left"/>
                  </w:pPr>
                  <w:r>
                    <w:rPr>
                      <w:rFonts w:ascii="Calibri" w:hAnsi="Calibri"/>
                      <w:b w:val="0"/>
                      <w:sz w:val="17"/>
                    </w:rPr>
                    <w:t>Actuator probe verified restored UP status</w:t>
                  </w:r>
                </w:p>
              </w:tc>
            </w:tr>
          </w:tbl>
          <w:p/>
          <w:p>
            <w:pPr>
              <w:spacing w:after="80"/>
            </w:pPr>
          </w:p>
          <w:p>
            <w:pPr>
              <w:keepNext/>
              <w:spacing w:before="160" w:after="60" w:line="276" w:lineRule="auto"/>
            </w:pPr>
            <w:r>
              <w:rPr>
                <w:rFonts w:ascii="Calibri" w:hAnsi="Calibri"/>
                <w:b/>
                <w:sz w:val="24"/>
              </w:rPr>
              <w:t>8. Technical Debt, Architecture Limitations &amp; Future Enhancement Roadmap</w:t>
            </w:r>
          </w:p>
          <w:p>
            <w:pPr>
              <w:spacing w:before="20" w:after="60" w:line="276" w:lineRule="auto"/>
            </w:pPr>
            <w:r>
              <w:rPr>
                <w:rFonts w:ascii="Calibri" w:hAnsi="Calibri"/>
                <w:sz w:val="22"/>
              </w:rPr>
              <w:t>While the CRMP platform demonstrates a robust end-to-end DevOps baseline, rigorous engineering evaluation requires identifying architectural limitations, technical debt, and future enhancement pathways: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800" w:type="dxa"/>
                  <w:shd w:fill="EAECEE"/>
                </w:tcPr>
                <w:p>
                  <w:pPr>
                    <w:spacing w:before="40" w:after="40" w:line="276" w:lineRule="auto"/>
                    <w:jc w:val="left"/>
                  </w:pPr>
                  <w:r>
                    <w:rPr>
                      <w:rFonts w:ascii="Calibri" w:hAnsi="Calibri"/>
                      <w:b/>
                      <w:sz w:val="19"/>
                    </w:rPr>
                    <w:t>Subsystem / Component</w:t>
                  </w:r>
                </w:p>
              </w:tc>
              <w:tc>
                <w:tcPr>
                  <w:tcW w:w="2000" w:type="dxa"/>
                  <w:shd w:fill="EAECEE"/>
                </w:tcPr>
                <w:p>
                  <w:pPr>
                    <w:spacing w:before="40" w:after="40" w:line="276" w:lineRule="auto"/>
                    <w:jc w:val="left"/>
                  </w:pPr>
                  <w:r>
                    <w:rPr>
                      <w:rFonts w:ascii="Calibri" w:hAnsi="Calibri"/>
                      <w:b/>
                      <w:sz w:val="19"/>
                    </w:rPr>
                    <w:t>Current Academic MVP Baseline</w:t>
                  </w:r>
                </w:p>
              </w:tc>
              <w:tc>
                <w:tcPr>
                  <w:tcW w:w="2400" w:type="dxa"/>
                  <w:shd w:fill="EAECEE"/>
                </w:tcPr>
                <w:p>
                  <w:pPr>
                    <w:spacing w:before="40" w:after="40" w:line="276" w:lineRule="auto"/>
                    <w:jc w:val="left"/>
                  </w:pPr>
                  <w:r>
                    <w:rPr>
                      <w:rFonts w:ascii="Calibri" w:hAnsi="Calibri"/>
                      <w:b/>
                      <w:sz w:val="19"/>
                    </w:rPr>
                    <w:t>Production Enterprise Enhancement</w:t>
                  </w:r>
                </w:p>
              </w:tc>
              <w:tc>
                <w:tcPr>
                  <w:tcW w:w="1700" w:type="dxa"/>
                  <w:shd w:fill="EAECEE"/>
                </w:tcPr>
                <w:p>
                  <w:pPr>
                    <w:spacing w:before="40" w:after="40" w:line="276" w:lineRule="auto"/>
                    <w:jc w:val="left"/>
                  </w:pPr>
                  <w:r>
                    <w:rPr>
                      <w:rFonts w:ascii="Calibri" w:hAnsi="Calibri"/>
                      <w:b/>
                      <w:sz w:val="19"/>
                    </w:rPr>
                    <w:t>Strategic DevOps Benefit</w:t>
                  </w:r>
                </w:p>
              </w:tc>
            </w:tr>
            <w:tr>
              <w:trPr>
                <w:cantSplit/>
              </w:trPr>
              <w:tc>
                <w:tcPr>
                  <w:tcW w:w="1800" w:type="dxa"/>
                </w:tcPr>
                <w:p>
                  <w:pPr>
                    <w:spacing w:before="40" w:after="40" w:line="276" w:lineRule="auto"/>
                    <w:jc w:val="left"/>
                  </w:pPr>
                  <w:r>
                    <w:rPr>
                      <w:rFonts w:ascii="Calibri" w:hAnsi="Calibri"/>
                      <w:b/>
                      <w:sz w:val="17"/>
                    </w:rPr>
                    <w:t>Persistence &amp; Database</w:t>
                  </w:r>
                </w:p>
              </w:tc>
              <w:tc>
                <w:tcPr>
                  <w:tcW w:w="2000" w:type="dxa"/>
                </w:tcPr>
                <w:p>
                  <w:pPr>
                    <w:spacing w:before="40" w:after="40" w:line="276" w:lineRule="auto"/>
                    <w:jc w:val="left"/>
                  </w:pPr>
                  <w:r>
                    <w:rPr>
                      <w:rFonts w:ascii="Calibri" w:hAnsi="Calibri"/>
                      <w:b w:val="0"/>
                      <w:sz w:val="17"/>
                    </w:rPr>
                    <w:t>In-memory H2 DB (data wiped on reboot)</w:t>
                  </w:r>
                </w:p>
              </w:tc>
              <w:tc>
                <w:tcPr>
                  <w:tcW w:w="2400" w:type="dxa"/>
                </w:tcPr>
                <w:p>
                  <w:pPr>
                    <w:spacing w:before="40" w:after="40" w:line="276" w:lineRule="auto"/>
                    <w:jc w:val="left"/>
                  </w:pPr>
                  <w:r>
                    <w:rPr>
                      <w:rFonts w:ascii="Calibri" w:hAnsi="Calibri"/>
                      <w:b w:val="0"/>
                      <w:sz w:val="17"/>
                    </w:rPr>
                    <w:t>Clustered PostgreSQL 16 on Amazon RDS / Crunchy Data</w:t>
                  </w:r>
                </w:p>
              </w:tc>
              <w:tc>
                <w:tcPr>
                  <w:tcW w:w="1700" w:type="dxa"/>
                </w:tcPr>
                <w:p>
                  <w:pPr>
                    <w:spacing w:before="40" w:after="40" w:line="276" w:lineRule="auto"/>
                    <w:jc w:val="left"/>
                  </w:pPr>
                  <w:r>
                    <w:rPr>
                      <w:rFonts w:ascii="Calibri" w:hAnsi="Calibri"/>
                      <w:b w:val="0"/>
                      <w:sz w:val="17"/>
                    </w:rPr>
                    <w:t>Persistent customer review storage &amp; read replicas</w:t>
                  </w:r>
                </w:p>
              </w:tc>
            </w:tr>
            <w:tr>
              <w:trPr>
                <w:cantSplit/>
              </w:trPr>
              <w:tc>
                <w:tcPr>
                  <w:tcW w:w="1800" w:type="dxa"/>
                </w:tcPr>
                <w:p>
                  <w:pPr>
                    <w:spacing w:before="40" w:after="40" w:line="276" w:lineRule="auto"/>
                    <w:jc w:val="left"/>
                  </w:pPr>
                  <w:r>
                    <w:rPr>
                      <w:rFonts w:ascii="Calibri" w:hAnsi="Calibri"/>
                      <w:b/>
                      <w:sz w:val="17"/>
                    </w:rPr>
                    <w:t>Container Orchestration</w:t>
                  </w:r>
                </w:p>
              </w:tc>
              <w:tc>
                <w:tcPr>
                  <w:tcW w:w="2000" w:type="dxa"/>
                </w:tcPr>
                <w:p>
                  <w:pPr>
                    <w:spacing w:before="40" w:after="40" w:line="276" w:lineRule="auto"/>
                    <w:jc w:val="left"/>
                  </w:pPr>
                  <w:r>
                    <w:rPr>
                      <w:rFonts w:ascii="Calibri" w:hAnsi="Calibri"/>
                      <w:b w:val="0"/>
                      <w:sz w:val="17"/>
                    </w:rPr>
                    <w:t>Single Docker host running standalone container</w:t>
                  </w:r>
                </w:p>
              </w:tc>
              <w:tc>
                <w:tcPr>
                  <w:tcW w:w="2400" w:type="dxa"/>
                </w:tcPr>
                <w:p>
                  <w:pPr>
                    <w:spacing w:before="40" w:after="40" w:line="276" w:lineRule="auto"/>
                    <w:jc w:val="left"/>
                  </w:pPr>
                  <w:r>
                    <w:rPr>
                      <w:rFonts w:ascii="Calibri" w:hAnsi="Calibri"/>
                      <w:b w:val="0"/>
                      <w:sz w:val="17"/>
                    </w:rPr>
                    <w:t>Kubernetes (EKS/GKE) with Helm charts &amp; Horizontal Pod Autoscaler</w:t>
                  </w:r>
                </w:p>
              </w:tc>
              <w:tc>
                <w:tcPr>
                  <w:tcW w:w="1700" w:type="dxa"/>
                </w:tcPr>
                <w:p>
                  <w:pPr>
                    <w:spacing w:before="40" w:after="40" w:line="276" w:lineRule="auto"/>
                    <w:jc w:val="left"/>
                  </w:pPr>
                  <w:r>
                    <w:rPr>
                      <w:rFonts w:ascii="Calibri" w:hAnsi="Calibri"/>
                      <w:b w:val="0"/>
                      <w:sz w:val="17"/>
                    </w:rPr>
                    <w:t>High availability, auto-scaling, self-healing pods</w:t>
                  </w:r>
                </w:p>
              </w:tc>
            </w:tr>
            <w:tr>
              <w:trPr>
                <w:cantSplit/>
              </w:trPr>
              <w:tc>
                <w:tcPr>
                  <w:tcW w:w="1800" w:type="dxa"/>
                </w:tcPr>
                <w:p>
                  <w:pPr>
                    <w:spacing w:before="40" w:after="40" w:line="276" w:lineRule="auto"/>
                    <w:jc w:val="left"/>
                  </w:pPr>
                  <w:r>
                    <w:rPr>
                      <w:rFonts w:ascii="Calibri" w:hAnsi="Calibri"/>
                      <w:b/>
                      <w:sz w:val="17"/>
                    </w:rPr>
                    <w:t>CI Pipeline Triggers</w:t>
                  </w:r>
                </w:p>
              </w:tc>
              <w:tc>
                <w:tcPr>
                  <w:tcW w:w="2000" w:type="dxa"/>
                </w:tcPr>
                <w:p>
                  <w:pPr>
                    <w:spacing w:before="40" w:after="40" w:line="276" w:lineRule="auto"/>
                    <w:jc w:val="left"/>
                  </w:pPr>
                  <w:r>
                    <w:rPr>
                      <w:rFonts w:ascii="Calibri" w:hAnsi="Calibri"/>
                      <w:b w:val="0"/>
                      <w:sz w:val="17"/>
                    </w:rPr>
                    <w:t>Scheduled polling of GitHub repository (H/2 * * * *)</w:t>
                  </w:r>
                </w:p>
              </w:tc>
              <w:tc>
                <w:tcPr>
                  <w:tcW w:w="2400" w:type="dxa"/>
                </w:tcPr>
                <w:p>
                  <w:pPr>
                    <w:spacing w:before="40" w:after="40" w:line="276" w:lineRule="auto"/>
                    <w:jc w:val="left"/>
                  </w:pPr>
                  <w:r>
                    <w:rPr>
                      <w:rFonts w:ascii="Calibri" w:hAnsi="Calibri"/>
                      <w:b w:val="0"/>
                      <w:sz w:val="17"/>
                    </w:rPr>
                    <w:t>GitHub Webhooks over HTTPS with HMAC signature validation</w:t>
                  </w:r>
                </w:p>
              </w:tc>
              <w:tc>
                <w:tcPr>
                  <w:tcW w:w="1700" w:type="dxa"/>
                </w:tcPr>
                <w:p>
                  <w:pPr>
                    <w:spacing w:before="40" w:after="40" w:line="276" w:lineRule="auto"/>
                    <w:jc w:val="left"/>
                  </w:pPr>
                  <w:r>
                    <w:rPr>
                      <w:rFonts w:ascii="Calibri" w:hAnsi="Calibri"/>
                      <w:b w:val="0"/>
                      <w:sz w:val="17"/>
                    </w:rPr>
                    <w:t>Instantaneous event-driven builds on git push</w:t>
                  </w:r>
                </w:p>
              </w:tc>
            </w:tr>
            <w:tr>
              <w:trPr>
                <w:cantSplit/>
              </w:trPr>
              <w:tc>
                <w:tcPr>
                  <w:tcW w:w="1800" w:type="dxa"/>
                </w:tcPr>
                <w:p>
                  <w:pPr>
                    <w:spacing w:before="40" w:after="40" w:line="276" w:lineRule="auto"/>
                    <w:jc w:val="left"/>
                  </w:pPr>
                  <w:r>
                    <w:rPr>
                      <w:rFonts w:ascii="Calibri" w:hAnsi="Calibri"/>
                      <w:b/>
                      <w:sz w:val="17"/>
                    </w:rPr>
                    <w:t>Secret Management</w:t>
                  </w:r>
                </w:p>
              </w:tc>
              <w:tc>
                <w:tcPr>
                  <w:tcW w:w="2000" w:type="dxa"/>
                </w:tcPr>
                <w:p>
                  <w:pPr>
                    <w:spacing w:before="40" w:after="40" w:line="276" w:lineRule="auto"/>
                    <w:jc w:val="left"/>
                  </w:pPr>
                  <w:r>
                    <w:rPr>
                      <w:rFonts w:ascii="Calibri" w:hAnsi="Calibri"/>
                      <w:b w:val="0"/>
                      <w:sz w:val="17"/>
                    </w:rPr>
                    <w:t>Plaintext variables in environment &amp; config files</w:t>
                  </w:r>
                </w:p>
              </w:tc>
              <w:tc>
                <w:tcPr>
                  <w:tcW w:w="2400" w:type="dxa"/>
                </w:tcPr>
                <w:p>
                  <w:pPr>
                    <w:spacing w:before="40" w:after="40" w:line="276" w:lineRule="auto"/>
                    <w:jc w:val="left"/>
                  </w:pPr>
                  <w:r>
                    <w:rPr>
                      <w:rFonts w:ascii="Calibri" w:hAnsi="Calibri"/>
                      <w:b w:val="0"/>
                      <w:sz w:val="17"/>
                    </w:rPr>
                    <w:t>HashiCorp Vault or AWS Secrets Manager with dynamic lease rotation</w:t>
                  </w:r>
                </w:p>
              </w:tc>
              <w:tc>
                <w:tcPr>
                  <w:tcW w:w="1700" w:type="dxa"/>
                </w:tcPr>
                <w:p>
                  <w:pPr>
                    <w:spacing w:before="40" w:after="40" w:line="276" w:lineRule="auto"/>
                    <w:jc w:val="left"/>
                  </w:pPr>
                  <w:r>
                    <w:rPr>
                      <w:rFonts w:ascii="Calibri" w:hAnsi="Calibri"/>
                      <w:b w:val="0"/>
                      <w:sz w:val="17"/>
                    </w:rPr>
                    <w:t>Zero-trust secrets security &amp; audit compliance</w:t>
                  </w:r>
                </w:p>
              </w:tc>
            </w:tr>
            <w:tr>
              <w:trPr>
                <w:cantSplit/>
              </w:trPr>
              <w:tc>
                <w:tcPr>
                  <w:tcW w:w="1800" w:type="dxa"/>
                </w:tcPr>
                <w:p>
                  <w:pPr>
                    <w:spacing w:before="40" w:after="40" w:line="276" w:lineRule="auto"/>
                    <w:jc w:val="left"/>
                  </w:pPr>
                  <w:r>
                    <w:rPr>
                      <w:rFonts w:ascii="Calibri" w:hAnsi="Calibri"/>
                      <w:b/>
                      <w:sz w:val="17"/>
                    </w:rPr>
                    <w:t>Telemetry &amp; APM</w:t>
                  </w:r>
                </w:p>
              </w:tc>
              <w:tc>
                <w:tcPr>
                  <w:tcW w:w="2000" w:type="dxa"/>
                </w:tcPr>
                <w:p>
                  <w:pPr>
                    <w:spacing w:before="40" w:after="40" w:line="276" w:lineRule="auto"/>
                    <w:jc w:val="left"/>
                  </w:pPr>
                  <w:r>
                    <w:rPr>
                      <w:rFonts w:ascii="Calibri" w:hAnsi="Calibri"/>
                      <w:b w:val="0"/>
                      <w:sz w:val="17"/>
                    </w:rPr>
                    <w:t>Raw Spring Boot Actuator JSON endpoints</w:t>
                  </w:r>
                </w:p>
              </w:tc>
              <w:tc>
                <w:tcPr>
                  <w:tcW w:w="2400" w:type="dxa"/>
                </w:tcPr>
                <w:p>
                  <w:pPr>
                    <w:spacing w:before="40" w:after="40" w:line="276" w:lineRule="auto"/>
                    <w:jc w:val="left"/>
                  </w:pPr>
                  <w:r>
                    <w:rPr>
                      <w:rFonts w:ascii="Calibri" w:hAnsi="Calibri"/>
                      <w:b w:val="0"/>
                      <w:sz w:val="17"/>
                    </w:rPr>
                    <w:t>Prometheus metrics scraper + Grafana dashboards + Alertmanager</w:t>
                  </w:r>
                </w:p>
              </w:tc>
              <w:tc>
                <w:tcPr>
                  <w:tcW w:w="1700" w:type="dxa"/>
                </w:tcPr>
                <w:p>
                  <w:pPr>
                    <w:spacing w:before="40" w:after="40" w:line="276" w:lineRule="auto"/>
                    <w:jc w:val="left"/>
                  </w:pPr>
                  <w:r>
                    <w:rPr>
                      <w:rFonts w:ascii="Calibri" w:hAnsi="Calibri"/>
                      <w:b w:val="0"/>
                      <w:sz w:val="17"/>
                    </w:rPr>
                    <w:t>Visual SLO/SLA dashboards &amp; automated on-call alerts</w:t>
                  </w:r>
                </w:p>
              </w:tc>
            </w:tr>
          </w:tbl>
          <w:p/>
          <w:p>
            <w:pPr>
              <w:spacing w:after="80"/>
            </w:pPr>
          </w:p>
          <w:p>
            <w:pPr>
              <w:keepNext/>
              <w:spacing w:before="160" w:after="60" w:line="276" w:lineRule="auto"/>
            </w:pPr>
            <w:r>
              <w:rPr>
                <w:rFonts w:ascii="Calibri" w:hAnsi="Calibri"/>
                <w:b/>
                <w:sz w:val="24"/>
              </w:rPr>
              <w:t>9. Academic Viva Voce Defense &amp; Core Competencies</w:t>
            </w:r>
          </w:p>
          <w:p>
            <w:pPr>
              <w:spacing w:before="20" w:after="60" w:line="276" w:lineRule="auto"/>
            </w:pPr>
            <w:r>
              <w:rPr>
                <w:rFonts w:ascii="Calibri" w:hAnsi="Calibri"/>
                <w:sz w:val="22"/>
              </w:rPr>
              <w:t>The following comprehensive question-and-answer framework prepares the candidate for rigorous technical examination and viva voce defense across the 15 DevOps laboratory tasks:</w:t>
            </w:r>
          </w:p>
          <w:p>
            <w:pPr>
              <w:spacing w:before="20" w:after="20" w:line="276" w:lineRule="auto"/>
            </w:pPr>
            <w:r>
              <w:rPr>
                <w:rFonts w:ascii="Calibri" w:hAnsi="Calibri"/>
                <w:sz w:val="22"/>
              </w:rPr>
              <w:t>Q1: Explain the purpose and workflow of Git branching strategy used in this project.</w:t>
            </w:r>
          </w:p>
          <w:p>
            <w:pPr>
              <w:spacing w:before="20" w:after="80" w:line="276" w:lineRule="auto"/>
            </w:pPr>
            <w:r>
              <w:rPr>
                <w:rFonts w:ascii="Calibri" w:hAnsi="Calibri"/>
                <w:sz w:val="22"/>
              </w:rPr>
              <w:t>Ans: A GitFlow-inspired branching strategy was enforced. The 'main' branch is strictly reserved for production-ready, tagged releases (e.g., v1.0.0). Daily integration occurs on 'dev'. Discrete features are developed on isolated branches (e.g., 'feature/review-ingestion') and merged into 'dev' via Pull Requests. In Task 6, an intentional merge conflict was created on ReviewService.java to demonstrate manual conflict resolution using Git marker inspection (&lt;&lt;&lt;&lt;&lt;&lt;&lt;, =======, &gt;&gt;&gt;&gt;&gt;&gt;&gt;) and release tagging.</w:t>
            </w:r>
          </w:p>
          <w:p>
            <w:pPr>
              <w:spacing w:before="20" w:after="20" w:line="276" w:lineRule="auto"/>
            </w:pPr>
            <w:r>
              <w:rPr>
                <w:rFonts w:ascii="Calibri" w:hAnsi="Calibri"/>
                <w:sz w:val="22"/>
              </w:rPr>
              <w:t>Q2: How does the Jenkins Continuous Testing Quality Gate prevent bad deployments?</w:t>
            </w:r>
          </w:p>
          <w:p>
            <w:pPr>
              <w:spacing w:before="20" w:after="80" w:line="276" w:lineRule="auto"/>
            </w:pPr>
            <w:r>
              <w:rPr>
                <w:rFonts w:ascii="Calibri" w:hAnsi="Calibri"/>
                <w:sz w:val="22"/>
              </w:rPr>
              <w:t>Ans: The Jenkins pipeline executes 'mvn test' during the test stage. If any of the 15 automated tests (Surefire unit, MockMvc, or headless Selenium) fail, the Maven process returns a non-zero exit code. Jenkins detects this failure, marks the build stage as FAILED, and immediately halts pipeline execution, completely skipping downstream Docker packaging, container publishing, and deployment stages. This was empirically proven in Task 10 where a regression defect stopped deployment.</w:t>
            </w:r>
          </w:p>
          <w:p>
            <w:pPr>
              <w:spacing w:before="20" w:after="20" w:line="276" w:lineRule="auto"/>
            </w:pPr>
            <w:r>
              <w:rPr>
                <w:rFonts w:ascii="Calibri" w:hAnsi="Calibri"/>
                <w:sz w:val="22"/>
              </w:rPr>
              <w:t>Q3: What are the primary advantages of Docker multi-stage builds?</w:t>
            </w:r>
          </w:p>
          <w:p>
            <w:pPr>
              <w:spacing w:before="20" w:after="80" w:line="276" w:lineRule="auto"/>
            </w:pPr>
            <w:r>
              <w:rPr>
                <w:rFonts w:ascii="Calibri" w:hAnsi="Calibri"/>
                <w:sz w:val="22"/>
              </w:rPr>
              <w:t>Ans: Docker multi-stage builds separate the heavyweight compilation environment from the lightweight runtime container. Stage 1 utilizes a Maven 3.9.6 + JDK 21 builder image to resolve dependencies and compile the 53.4 MB fat JAR. Stage 2 utilizes a minimal Eclipse Temurin Alpine JRE 21 base image, copying only the final JAR into /app/crmp.jar. This dropped the image size from 850.4 MB to 242.8 MB (a 71.4% reduction), eliminated build tools from production, and hardened security using an unprivileged user (crmpuser, UID 1000).</w:t>
            </w:r>
          </w:p>
          <w:p>
            <w:pPr>
              <w:spacing w:before="20" w:after="20" w:line="276" w:lineRule="auto"/>
            </w:pPr>
            <w:r>
              <w:rPr>
                <w:rFonts w:ascii="Calibri" w:hAnsi="Calibri"/>
                <w:sz w:val="22"/>
              </w:rPr>
              <w:t>Q4: Define Ansible Idempotency and explain how it was validated in Task 14.</w:t>
            </w:r>
          </w:p>
          <w:p>
            <w:pPr>
              <w:spacing w:before="20" w:after="80" w:line="276" w:lineRule="auto"/>
            </w:pPr>
            <w:r>
              <w:rPr>
                <w:rFonts w:ascii="Calibri" w:hAnsi="Calibri"/>
                <w:sz w:val="22"/>
              </w:rPr>
              <w:t>Ans: Idempotency is the mathematical property whereby an operation can be applied multiple times without changing the result beyond the initial application. In Ansible, tasks declare the desired state rather than imperative commands. On the initial run, Ansible applies changes (ok=11, changed=8). On the immediate rerun against the same host, Ansible queries the state, detects that packages, users, folders, and containers match declarations, and executes with changed=0 and failed=0, guaranteeing zero configuration drift.</w:t>
            </w:r>
          </w:p>
          <w:p>
            <w:pPr>
              <w:spacing w:before="20" w:after="20" w:line="276" w:lineRule="auto"/>
            </w:pPr>
            <w:r>
              <w:rPr>
                <w:rFonts w:ascii="Calibri" w:hAnsi="Calibri"/>
                <w:sz w:val="22"/>
              </w:rPr>
              <w:t>Q5: How is automated rollback executed when a container deployment fails?</w:t>
            </w:r>
          </w:p>
          <w:p>
            <w:pPr>
              <w:spacing w:before="20" w:after="80" w:line="276" w:lineRule="auto"/>
            </w:pPr>
            <w:r>
              <w:rPr>
                <w:rFonts w:ascii="Calibri" w:hAnsi="Calibri"/>
                <w:sz w:val="22"/>
              </w:rPr>
              <w:t>Ans: Post-deployment, the pipeline probes http://localhost:8080/actuator/health. If the endpoint returns a non-200 code or status != UP, the automated disaster recovery playbook (ansible/rollback.yml) is invoked. Ansible stops and removes the defective container and launches the prior verified release image (crmp:v1.0.0), restoring full portal availability in under 2.8 seconds.</w:t>
            </w:r>
          </w:p>
          <w:p>
            <w:pPr>
              <w:keepNext/>
              <w:spacing w:before="120" w:after="40"/>
              <w:jc w:val="center"/>
            </w:pPr>
            <w:r>
              <w:drawing>
                <wp:inline xmlns:a="http://schemas.openxmlformats.org/drawingml/2006/main" xmlns:pic="http://schemas.openxmlformats.org/drawingml/2006/picture">
                  <wp:extent cx="5120640" cy="3218343"/>
                  <wp:docPr id="8" name="Picture 8"/>
                  <wp:cNvGraphicFramePr>
                    <a:graphicFrameLocks noChangeAspect="1"/>
                  </wp:cNvGraphicFramePr>
                  <a:graphic>
                    <a:graphicData uri="http://schemas.openxmlformats.org/drawingml/2006/picture">
                      <pic:pic>
                        <pic:nvPicPr>
                          <pic:cNvPr id="0" name="figure_15_7_troubleshooting_matrix_and_viva_defense.png"/>
                          <pic:cNvPicPr/>
                        </pic:nvPicPr>
                        <pic:blipFill>
                          <a:blip r:embed="rId29"/>
                          <a:stretch>
                            <a:fillRect/>
                          </a:stretch>
                        </pic:blipFill>
                        <pic:spPr>
                          <a:xfrm>
                            <a:off x="0" y="0"/>
                            <a:ext cx="5120640" cy="3218343"/>
                          </a:xfrm>
                          <a:prstGeom prst="rect"/>
                        </pic:spPr>
                      </pic:pic>
                    </a:graphicData>
                  </a:graphic>
                </wp:inline>
              </w:drawing>
            </w:r>
          </w:p>
          <w:p>
            <w:pPr>
              <w:keepNext/>
              <w:spacing w:before="40" w:after="160"/>
              <w:jc w:val="center"/>
            </w:pPr>
            <w:r>
              <w:rPr>
                <w:rFonts w:ascii="Calibri" w:hAnsi="Calibri"/>
                <w:b/>
                <w:sz w:val="20"/>
              </w:rPr>
              <w:t>Figure 15.7: Enterprise DevOps Troubleshooting Matrix, Failure Diagnosis &amp; Viva Voce Defense Framework</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spacing w:before="20" w:after="60" w:line="276" w:lineRule="auto"/>
            </w:pPr>
            <w:r>
              <w:rPr>
                <w:rFonts w:ascii="Calibri" w:hAnsi="Calibri"/>
                <w:sz w:val="22"/>
              </w:rPr>
              <w:t>In this capstone Task 15, the complete DevOps lifecycle for the Customer Review Moderation Portal (CRMP) was successfully orchestrated, validated, and finalized under the guidance of Dr. Snehal Andhare. The master workflow runner (scripts/run_e2e_devops_workflow.py) executed all eight stages seamlessly: verifying Git release tag v1.0.0, passing all 15 automated unit, controller, and Selenium tests without failures, packaging the 53.4 MB fat JAR, building and publishing the optimized 242.8 MB multi-stage Docker image to Docker Hub, provisioning target nodes via Ansible with strict idempotency (ok=11, changed=0, failed=0), validating live Spring Boot Actuator health telemetry (HTTP 200 UP), and demonstrating automated disaster recovery rollback in under 2.8 seconds. Comprehensive troubleshooting playbooks, architectural trade-off evaluations, and viva voce defense competencies were formally documented. All fifteen tasks of this laboratory project stand 100% complete, fully verified, and synchronized across local and remote repositories.</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