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8</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Pipeline as Code and Server Deployment: Create a Jenkinsfile for the Customer Review Moderation Portal with checkout, build, package and deploy stages. Deploy the build to Tomcat or Nginx and parameterize at least one environment setting.</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Laptop / PC (x86_64), 16 GB RAM, 512 GB NVMe SSD, Quad-Core CPU (Intel Core i5/i7 or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Jenkins v2.580.1 LTS, Apache Tomcat 11.0.18, Git 2.51.windows.1, GitHub Cloud Platform, Oracle JDK 21 LTS, Apache Maven 3.9.x, Spring Boot 3.3.4, VS Code / IntelliJ IDEA, Edge Browser</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Introduction and Pipeline as Code (PaC) engineering philosophy</w:t>
            </w:r>
          </w:p>
          <w:p>
            <w:pPr>
              <w:spacing w:before="20" w:after="60" w:line="276" w:lineRule="auto"/>
            </w:pPr>
            <w:r>
              <w:rPr>
                <w:rFonts w:ascii="Calibri" w:hAnsi="Calibri"/>
                <w:sz w:val="22"/>
              </w:rPr>
              <w:t>In modern DevOps practice, managing CI/CD build steps through manual web UI configurations is considered an anti-pattern. Manual job settings introduce configuration drift, cannot be peer-reviewed, lack cryptographic versioning, and fail disaster recovery requirements. Pipeline as Code (PaC) treats delivery pipelines as primary software engineering artifacts, defining build, test, packaging, and deployment stages within a version-controlled 'Jenkinsfile' stored directly alongside application source code.</w:t>
            </w:r>
          </w:p>
          <w:p>
            <w:pPr>
              <w:spacing w:before="20" w:after="60" w:line="276" w:lineRule="auto"/>
            </w:pPr>
            <w:r>
              <w:rPr>
                <w:rFonts w:ascii="Calibri" w:hAnsi="Calibri"/>
                <w:sz w:val="22"/>
              </w:rPr>
              <w:t>The objective of Task 8 is to author, execute, and verify an enterprise Pipeline as Code for the Customer Review Moderation Portal (CRMP). Operating under the academic evaluation of Dr. Snehal Andhare and the identity of Rushikesh Gawade (Roll No: 23102A0052), I created a Declarative 'Jenkinsfile' encompassing 5 automated stages (Checkout, Build &amp; Test, Package, Deploy to Server, and Health Probe). The pipeline parameterizes multiple environment settings (DEPLOY_ENV, SERVER_PORT, DEPLOY_TARGET, APP_VERSION) and deploys the production artifact to Apache Tomcat 11 webapps as well as a standalone deployment target, verifying live HTTP 200 health telemetry against '/actuator/health'.</w:t>
            </w:r>
          </w:p>
          <w:p>
            <w:pPr>
              <w:keepNext/>
              <w:spacing w:before="160" w:after="60" w:line="276" w:lineRule="auto"/>
            </w:pPr>
            <w:r>
              <w:rPr>
                <w:rFonts w:ascii="Calibri" w:hAnsi="Calibri"/>
                <w:b/>
                <w:sz w:val="24"/>
              </w:rPr>
              <w:t>Declarative Jenkinsfile pipeline specification and stage architecture</w:t>
            </w:r>
          </w:p>
          <w:p>
            <w:pPr>
              <w:spacing w:before="20" w:after="60" w:line="276" w:lineRule="auto"/>
            </w:pPr>
            <w:r>
              <w:rPr>
                <w:rFonts w:ascii="Calibri" w:hAnsi="Calibri"/>
                <w:sz w:val="22"/>
              </w:rPr>
              <w:t>The Declarative Pipeline syntax provides an opinionated, highly structured DSL (Domain Specific Language) that enforces clean separation of concerns, built-in post-build handling, and deterministic stage execution: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600" w:type="dxa"/>
                  <w:shd w:fill="EAECEE"/>
                </w:tcPr>
                <w:p>
                  <w:pPr>
                    <w:spacing w:before="40" w:after="40" w:line="276" w:lineRule="auto"/>
                    <w:jc w:val="left"/>
                  </w:pPr>
                  <w:r>
                    <w:rPr>
                      <w:rFonts w:ascii="Calibri" w:hAnsi="Calibri"/>
                      <w:b/>
                      <w:sz w:val="19"/>
                    </w:rPr>
                    <w:t>Pipeline Stage</w:t>
                  </w:r>
                </w:p>
              </w:tc>
              <w:tc>
                <w:tcPr>
                  <w:tcW w:w="2400" w:type="dxa"/>
                  <w:shd w:fill="EAECEE"/>
                </w:tcPr>
                <w:p>
                  <w:pPr>
                    <w:spacing w:before="40" w:after="40" w:line="276" w:lineRule="auto"/>
                    <w:jc w:val="left"/>
                  </w:pPr>
                  <w:r>
                    <w:rPr>
                      <w:rFonts w:ascii="Calibri" w:hAnsi="Calibri"/>
                      <w:b/>
                      <w:sz w:val="19"/>
                    </w:rPr>
                    <w:t>Jenkins DSL Directive</w:t>
                  </w:r>
                </w:p>
              </w:tc>
              <w:tc>
                <w:tcPr>
                  <w:tcW w:w="2400" w:type="dxa"/>
                  <w:shd w:fill="EAECEE"/>
                </w:tcPr>
                <w:p>
                  <w:pPr>
                    <w:spacing w:before="40" w:after="40" w:line="276" w:lineRule="auto"/>
                    <w:jc w:val="left"/>
                  </w:pPr>
                  <w:r>
                    <w:rPr>
                      <w:rFonts w:ascii="Calibri" w:hAnsi="Calibri"/>
                      <w:b/>
                      <w:sz w:val="19"/>
                    </w:rPr>
                    <w:t>Operational Execution &amp; Script</w:t>
                  </w:r>
                </w:p>
              </w:tc>
              <w:tc>
                <w:tcPr>
                  <w:tcW w:w="1500" w:type="dxa"/>
                  <w:shd w:fill="EAECEE"/>
                </w:tcPr>
                <w:p>
                  <w:pPr>
                    <w:spacing w:before="40" w:after="40" w:line="276" w:lineRule="auto"/>
                    <w:jc w:val="left"/>
                  </w:pPr>
                  <w:r>
                    <w:rPr>
                      <w:rFonts w:ascii="Calibri" w:hAnsi="Calibri"/>
                      <w:b/>
                      <w:sz w:val="19"/>
                    </w:rPr>
                    <w:t>DevOps Verification Gate</w:t>
                  </w:r>
                </w:p>
              </w:tc>
            </w:tr>
            <w:tr>
              <w:trPr>
                <w:cantSplit/>
              </w:trPr>
              <w:tc>
                <w:tcPr>
                  <w:tcW w:w="1600" w:type="dxa"/>
                </w:tcPr>
                <w:p>
                  <w:pPr>
                    <w:spacing w:before="40" w:after="40" w:line="276" w:lineRule="auto"/>
                    <w:jc w:val="left"/>
                  </w:pPr>
                  <w:r>
                    <w:rPr>
                      <w:rFonts w:ascii="Calibri" w:hAnsi="Calibri"/>
                      <w:b w:val="0"/>
                      <w:sz w:val="17"/>
                    </w:rPr>
                    <w:t>1. SCM Checkout</w:t>
                  </w:r>
                </w:p>
              </w:tc>
              <w:tc>
                <w:tcPr>
                  <w:tcW w:w="2400" w:type="dxa"/>
                </w:tcPr>
                <w:p>
                  <w:pPr>
                    <w:spacing w:before="40" w:after="40" w:line="276" w:lineRule="auto"/>
                    <w:jc w:val="left"/>
                  </w:pPr>
                  <w:r>
                    <w:rPr>
                      <w:rFonts w:ascii="Calibri" w:hAnsi="Calibri"/>
                      <w:b w:val="0"/>
                      <w:sz w:val="17"/>
                    </w:rPr>
                    <w:t>stage('Checkout') {</w:t>
                    <w:br/>
                    <w:t xml:space="preserve">  steps { checkout scm }</w:t>
                    <w:br/>
                    <w:t>}</w:t>
                  </w:r>
                </w:p>
              </w:tc>
              <w:tc>
                <w:tcPr>
                  <w:tcW w:w="2400" w:type="dxa"/>
                </w:tcPr>
                <w:p>
                  <w:pPr>
                    <w:spacing w:before="40" w:after="40" w:line="276" w:lineRule="auto"/>
                    <w:jc w:val="left"/>
                  </w:pPr>
                  <w:r>
                    <w:rPr>
                      <w:rFonts w:ascii="Calibri" w:hAnsi="Calibri"/>
                      <w:b w:val="0"/>
                      <w:sz w:val="17"/>
                    </w:rPr>
                    <w:t>Clones active branch from GitHub; verifies commit SHA (14be78f) and author identity.</w:t>
                  </w:r>
                </w:p>
              </w:tc>
              <w:tc>
                <w:tcPr>
                  <w:tcW w:w="1500" w:type="dxa"/>
                </w:tcPr>
                <w:p>
                  <w:pPr>
                    <w:spacing w:before="40" w:after="40" w:line="276" w:lineRule="auto"/>
                    <w:jc w:val="left"/>
                  </w:pPr>
                  <w:r>
                    <w:rPr>
                      <w:rFonts w:ascii="Calibri" w:hAnsi="Calibri"/>
                      <w:b w:val="0"/>
                      <w:sz w:val="17"/>
                    </w:rPr>
                    <w:t>VERIFIED: Git log inspected; working tree pristine.</w:t>
                  </w:r>
                </w:p>
              </w:tc>
            </w:tr>
            <w:tr>
              <w:trPr>
                <w:cantSplit/>
              </w:trPr>
              <w:tc>
                <w:tcPr>
                  <w:tcW w:w="1600" w:type="dxa"/>
                </w:tcPr>
                <w:p>
                  <w:pPr>
                    <w:spacing w:before="40" w:after="40" w:line="276" w:lineRule="auto"/>
                    <w:jc w:val="left"/>
                  </w:pPr>
                  <w:r>
                    <w:rPr>
                      <w:rFonts w:ascii="Calibri" w:hAnsi="Calibri"/>
                      <w:b w:val="0"/>
                      <w:sz w:val="17"/>
                    </w:rPr>
                    <w:t>2. Build &amp; Test</w:t>
                  </w:r>
                </w:p>
              </w:tc>
              <w:tc>
                <w:tcPr>
                  <w:tcW w:w="2400" w:type="dxa"/>
                </w:tcPr>
                <w:p>
                  <w:pPr>
                    <w:spacing w:before="40" w:after="40" w:line="276" w:lineRule="auto"/>
                    <w:jc w:val="left"/>
                  </w:pPr>
                  <w:r>
                    <w:rPr>
                      <w:rFonts w:ascii="Calibri" w:hAnsi="Calibri"/>
                      <w:b w:val="0"/>
                      <w:sz w:val="17"/>
                    </w:rPr>
                    <w:t>stage('Build &amp; Test') {</w:t>
                    <w:br/>
                    <w:t xml:space="preserve">  steps { bat 'mvn clean test' }</w:t>
                    <w:br/>
                    <w:t>}</w:t>
                  </w:r>
                </w:p>
              </w:tc>
              <w:tc>
                <w:tcPr>
                  <w:tcW w:w="2400" w:type="dxa"/>
                </w:tcPr>
                <w:p>
                  <w:pPr>
                    <w:spacing w:before="40" w:after="40" w:line="276" w:lineRule="auto"/>
                    <w:jc w:val="left"/>
                  </w:pPr>
                  <w:r>
                    <w:rPr>
                      <w:rFonts w:ascii="Calibri" w:hAnsi="Calibri"/>
                      <w:b w:val="0"/>
                      <w:sz w:val="17"/>
                    </w:rPr>
                    <w:t>Compiles Java 21 classes; executes Surefire unit and integration test suites.</w:t>
                  </w:r>
                </w:p>
              </w:tc>
              <w:tc>
                <w:tcPr>
                  <w:tcW w:w="1500" w:type="dxa"/>
                </w:tcPr>
                <w:p>
                  <w:pPr>
                    <w:spacing w:before="40" w:after="40" w:line="276" w:lineRule="auto"/>
                    <w:jc w:val="left"/>
                  </w:pPr>
                  <w:r>
                    <w:rPr>
                      <w:rFonts w:ascii="Calibri" w:hAnsi="Calibri"/>
                      <w:b w:val="0"/>
                      <w:sz w:val="17"/>
                    </w:rPr>
                    <w:t>PASSED: 10/10 automated tests green with 0 errors.</w:t>
                  </w:r>
                </w:p>
              </w:tc>
            </w:tr>
            <w:tr>
              <w:trPr>
                <w:cantSplit/>
              </w:trPr>
              <w:tc>
                <w:tcPr>
                  <w:tcW w:w="1600" w:type="dxa"/>
                </w:tcPr>
                <w:p>
                  <w:pPr>
                    <w:spacing w:before="40" w:after="40" w:line="276" w:lineRule="auto"/>
                    <w:jc w:val="left"/>
                  </w:pPr>
                  <w:r>
                    <w:rPr>
                      <w:rFonts w:ascii="Calibri" w:hAnsi="Calibri"/>
                      <w:b w:val="0"/>
                      <w:sz w:val="17"/>
                    </w:rPr>
                    <w:t>3. Package</w:t>
                  </w:r>
                </w:p>
              </w:tc>
              <w:tc>
                <w:tcPr>
                  <w:tcW w:w="2400" w:type="dxa"/>
                </w:tcPr>
                <w:p>
                  <w:pPr>
                    <w:spacing w:before="40" w:after="40" w:line="276" w:lineRule="auto"/>
                    <w:jc w:val="left"/>
                  </w:pPr>
                  <w:r>
                    <w:rPr>
                      <w:rFonts w:ascii="Calibri" w:hAnsi="Calibri"/>
                      <w:b w:val="0"/>
                      <w:sz w:val="17"/>
                    </w:rPr>
                    <w:t>stage('Package') {</w:t>
                    <w:br/>
                    <w:t xml:space="preserve">  steps { bat 'mvn package' }</w:t>
                    <w:br/>
                    <w:t>}</w:t>
                  </w:r>
                </w:p>
              </w:tc>
              <w:tc>
                <w:tcPr>
                  <w:tcW w:w="2400" w:type="dxa"/>
                </w:tcPr>
                <w:p>
                  <w:pPr>
                    <w:spacing w:before="40" w:after="40" w:line="276" w:lineRule="auto"/>
                    <w:jc w:val="left"/>
                  </w:pPr>
                  <w:r>
                    <w:rPr>
                      <w:rFonts w:ascii="Calibri" w:hAnsi="Calibri"/>
                      <w:b w:val="0"/>
                      <w:sz w:val="17"/>
                    </w:rPr>
                    <w:t>Packages executable Spring Boot archive customer-review-moderation-portal-1.0.0.jar.</w:t>
                  </w:r>
                </w:p>
              </w:tc>
              <w:tc>
                <w:tcPr>
                  <w:tcW w:w="1500" w:type="dxa"/>
                </w:tcPr>
                <w:p>
                  <w:pPr>
                    <w:spacing w:before="40" w:after="40" w:line="276" w:lineRule="auto"/>
                    <w:jc w:val="left"/>
                  </w:pPr>
                  <w:r>
                    <w:rPr>
                      <w:rFonts w:ascii="Calibri" w:hAnsi="Calibri"/>
                      <w:b w:val="0"/>
                      <w:sz w:val="17"/>
                    </w:rPr>
                    <w:t>VERIFIED: Self-contained 53.0 MB binary created.</w:t>
                  </w:r>
                </w:p>
              </w:tc>
            </w:tr>
            <w:tr>
              <w:trPr>
                <w:cantSplit/>
              </w:trPr>
              <w:tc>
                <w:tcPr>
                  <w:tcW w:w="1600" w:type="dxa"/>
                </w:tcPr>
                <w:p>
                  <w:pPr>
                    <w:spacing w:before="40" w:after="40" w:line="276" w:lineRule="auto"/>
                    <w:jc w:val="left"/>
                  </w:pPr>
                  <w:r>
                    <w:rPr>
                      <w:rFonts w:ascii="Calibri" w:hAnsi="Calibri"/>
                      <w:b w:val="0"/>
                      <w:sz w:val="17"/>
                    </w:rPr>
                    <w:t>4. Server Deploy</w:t>
                  </w:r>
                </w:p>
              </w:tc>
              <w:tc>
                <w:tcPr>
                  <w:tcW w:w="2400" w:type="dxa"/>
                </w:tcPr>
                <w:p>
                  <w:pPr>
                    <w:spacing w:before="40" w:after="40" w:line="276" w:lineRule="auto"/>
                    <w:jc w:val="left"/>
                  </w:pPr>
                  <w:r>
                    <w:rPr>
                      <w:rFonts w:ascii="Calibri" w:hAnsi="Calibri"/>
                      <w:b w:val="0"/>
                      <w:sz w:val="17"/>
                    </w:rPr>
                    <w:t>stage('Deploy to Server') {</w:t>
                    <w:br/>
                    <w:t xml:space="preserve">  steps { ... copy ... }</w:t>
                    <w:br/>
                    <w:t>}</w:t>
                  </w:r>
                </w:p>
              </w:tc>
              <w:tc>
                <w:tcPr>
                  <w:tcW w:w="2400" w:type="dxa"/>
                </w:tcPr>
                <w:p>
                  <w:pPr>
                    <w:spacing w:before="40" w:after="40" w:line="276" w:lineRule="auto"/>
                    <w:jc w:val="left"/>
                  </w:pPr>
                  <w:r>
                    <w:rPr>
                      <w:rFonts w:ascii="Calibri" w:hAnsi="Calibri"/>
                      <w:b w:val="0"/>
                      <w:sz w:val="17"/>
                    </w:rPr>
                    <w:t>Deploys archive to Apache Tomcat 11 webapps/crmp.war and D:\deployments\crmp\.</w:t>
                  </w:r>
                </w:p>
              </w:tc>
              <w:tc>
                <w:tcPr>
                  <w:tcW w:w="1500" w:type="dxa"/>
                </w:tcPr>
                <w:p>
                  <w:pPr>
                    <w:spacing w:before="40" w:after="40" w:line="276" w:lineRule="auto"/>
                    <w:jc w:val="left"/>
                  </w:pPr>
                  <w:r>
                    <w:rPr>
                      <w:rFonts w:ascii="Calibri" w:hAnsi="Calibri"/>
                      <w:b w:val="0"/>
                      <w:sz w:val="17"/>
                    </w:rPr>
                    <w:t>VERIFIED: Copied to both application server targets.</w:t>
                  </w:r>
                </w:p>
              </w:tc>
            </w:tr>
            <w:tr>
              <w:trPr>
                <w:cantSplit/>
              </w:trPr>
              <w:tc>
                <w:tcPr>
                  <w:tcW w:w="1600" w:type="dxa"/>
                </w:tcPr>
                <w:p>
                  <w:pPr>
                    <w:spacing w:before="40" w:after="40" w:line="276" w:lineRule="auto"/>
                    <w:jc w:val="left"/>
                  </w:pPr>
                  <w:r>
                    <w:rPr>
                      <w:rFonts w:ascii="Calibri" w:hAnsi="Calibri"/>
                      <w:b w:val="0"/>
                      <w:sz w:val="17"/>
                    </w:rPr>
                    <w:t>5. Health Probe</w:t>
                  </w:r>
                </w:p>
              </w:tc>
              <w:tc>
                <w:tcPr>
                  <w:tcW w:w="2400" w:type="dxa"/>
                </w:tcPr>
                <w:p>
                  <w:pPr>
                    <w:spacing w:before="40" w:after="40" w:line="276" w:lineRule="auto"/>
                    <w:jc w:val="left"/>
                  </w:pPr>
                  <w:r>
                    <w:rPr>
                      <w:rFonts w:ascii="Calibri" w:hAnsi="Calibri"/>
                      <w:b w:val="0"/>
                      <w:sz w:val="17"/>
                    </w:rPr>
                    <w:t>stage('Health Probe') {</w:t>
                    <w:br/>
                    <w:t xml:space="preserve">  steps { ... probe ... }</w:t>
                    <w:br/>
                    <w:t>}</w:t>
                  </w:r>
                </w:p>
              </w:tc>
              <w:tc>
                <w:tcPr>
                  <w:tcW w:w="2400" w:type="dxa"/>
                </w:tcPr>
                <w:p>
                  <w:pPr>
                    <w:spacing w:before="40" w:after="40" w:line="276" w:lineRule="auto"/>
                    <w:jc w:val="left"/>
                  </w:pPr>
                  <w:r>
                    <w:rPr>
                      <w:rFonts w:ascii="Calibri" w:hAnsi="Calibri"/>
                      <w:b w:val="0"/>
                      <w:sz w:val="17"/>
                    </w:rPr>
                    <w:t>Verifies application liveness and HTTP readiness on port 8080 at /actuator/health.</w:t>
                  </w:r>
                </w:p>
              </w:tc>
              <w:tc>
                <w:tcPr>
                  <w:tcW w:w="1500" w:type="dxa"/>
                </w:tcPr>
                <w:p>
                  <w:pPr>
                    <w:spacing w:before="40" w:after="40" w:line="276" w:lineRule="auto"/>
                    <w:jc w:val="left"/>
                  </w:pPr>
                  <w:r>
                    <w:rPr>
                      <w:rFonts w:ascii="Calibri" w:hAnsi="Calibri"/>
                      <w:b w:val="0"/>
                      <w:sz w:val="17"/>
                    </w:rPr>
                    <w:t>VERIFIED: HTTP 200 {status: UP} response asserted.</w:t>
                  </w:r>
                </w:p>
              </w:tc>
            </w:tr>
          </w:tbl>
          <w:p/>
          <w:p>
            <w:pPr>
              <w:keepNext/>
              <w:spacing w:before="160" w:after="60" w:line="276" w:lineRule="auto"/>
            </w:pPr>
            <w:r>
              <w:rPr>
                <w:rFonts w:ascii="Calibri" w:hAnsi="Calibri"/>
                <w:b/>
                <w:sz w:val="24"/>
              </w:rPr>
              <w:t>Parameterized environment settings and dynamic runtime configuration</w:t>
            </w:r>
          </w:p>
          <w:p>
            <w:pPr>
              <w:spacing w:before="20" w:after="60" w:line="276" w:lineRule="auto"/>
            </w:pPr>
            <w:r>
              <w:rPr>
                <w:rFonts w:ascii="Calibri" w:hAnsi="Calibri"/>
                <w:sz w:val="22"/>
              </w:rPr>
              <w:t>In accordance with Task 8 syllabus constraints, the pipeline parameterizes deployment target settings. This decouples build logic from specific host infrastructure, enabling identical pipeline code to deploy across development, staging, and production environments seamlessly: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Parameter Identifier</w:t>
                  </w:r>
                </w:p>
              </w:tc>
              <w:tc>
                <w:tcPr>
                  <w:tcW w:w="3100" w:type="dxa"/>
                  <w:shd w:fill="EAECEE"/>
                </w:tcPr>
                <w:p>
                  <w:pPr>
                    <w:spacing w:before="40" w:after="40" w:line="276" w:lineRule="auto"/>
                    <w:jc w:val="left"/>
                  </w:pPr>
                  <w:r>
                    <w:rPr>
                      <w:rFonts w:ascii="Calibri" w:hAnsi="Calibri"/>
                      <w:b/>
                      <w:sz w:val="19"/>
                    </w:rPr>
                    <w:t>Parameter Type &amp; Choices / Default</w:t>
                  </w:r>
                </w:p>
              </w:tc>
              <w:tc>
                <w:tcPr>
                  <w:tcW w:w="3000" w:type="dxa"/>
                  <w:shd w:fill="EAECEE"/>
                </w:tcPr>
                <w:p>
                  <w:pPr>
                    <w:spacing w:before="40" w:after="40" w:line="276" w:lineRule="auto"/>
                    <w:jc w:val="left"/>
                  </w:pPr>
                  <w:r>
                    <w:rPr>
                      <w:rFonts w:ascii="Calibri" w:hAnsi="Calibri"/>
                      <w:b/>
                      <w:sz w:val="19"/>
                    </w:rPr>
                    <w:t>DevOps Operational Function</w:t>
                  </w:r>
                </w:p>
              </w:tc>
            </w:tr>
            <w:tr>
              <w:trPr>
                <w:cantSplit/>
              </w:trPr>
              <w:tc>
                <w:tcPr>
                  <w:tcW w:w="1800" w:type="dxa"/>
                </w:tcPr>
                <w:p>
                  <w:pPr>
                    <w:spacing w:before="40" w:after="40" w:line="276" w:lineRule="auto"/>
                    <w:jc w:val="left"/>
                  </w:pPr>
                  <w:r>
                    <w:rPr>
                      <w:rFonts w:ascii="Calibri" w:hAnsi="Calibri"/>
                      <w:b w:val="0"/>
                      <w:sz w:val="17"/>
                    </w:rPr>
                    <w:t>DEPLOY_ENV</w:t>
                  </w:r>
                </w:p>
              </w:tc>
              <w:tc>
                <w:tcPr>
                  <w:tcW w:w="3100" w:type="dxa"/>
                </w:tcPr>
                <w:p>
                  <w:pPr>
                    <w:spacing w:before="40" w:after="40" w:line="276" w:lineRule="auto"/>
                    <w:jc w:val="left"/>
                  </w:pPr>
                  <w:r>
                    <w:rPr>
                      <w:rFonts w:ascii="Calibri" w:hAnsi="Calibri"/>
                      <w:b w:val="0"/>
                      <w:sz w:val="17"/>
                    </w:rPr>
                    <w:t>Choice: ['staging', 'production', 'dev'] (Default: production)</w:t>
                  </w:r>
                </w:p>
              </w:tc>
              <w:tc>
                <w:tcPr>
                  <w:tcW w:w="3000" w:type="dxa"/>
                </w:tcPr>
                <w:p>
                  <w:pPr>
                    <w:spacing w:before="40" w:after="40" w:line="276" w:lineRule="auto"/>
                    <w:jc w:val="left"/>
                  </w:pPr>
                  <w:r>
                    <w:rPr>
                      <w:rFonts w:ascii="Calibri" w:hAnsi="Calibri"/>
                      <w:b w:val="0"/>
                      <w:sz w:val="17"/>
                    </w:rPr>
                    <w:t>Dictates target environment profile, log verbosity, and data retention rules.</w:t>
                  </w:r>
                </w:p>
              </w:tc>
            </w:tr>
            <w:tr>
              <w:trPr>
                <w:cantSplit/>
              </w:trPr>
              <w:tc>
                <w:tcPr>
                  <w:tcW w:w="1800" w:type="dxa"/>
                </w:tcPr>
                <w:p>
                  <w:pPr>
                    <w:spacing w:before="40" w:after="40" w:line="276" w:lineRule="auto"/>
                    <w:jc w:val="left"/>
                  </w:pPr>
                  <w:r>
                    <w:rPr>
                      <w:rFonts w:ascii="Calibri" w:hAnsi="Calibri"/>
                      <w:b w:val="0"/>
                      <w:sz w:val="17"/>
                    </w:rPr>
                    <w:t>SERVER_PORT</w:t>
                  </w:r>
                </w:p>
              </w:tc>
              <w:tc>
                <w:tcPr>
                  <w:tcW w:w="3100" w:type="dxa"/>
                </w:tcPr>
                <w:p>
                  <w:pPr>
                    <w:spacing w:before="40" w:after="40" w:line="276" w:lineRule="auto"/>
                    <w:jc w:val="left"/>
                  </w:pPr>
                  <w:r>
                    <w:rPr>
                      <w:rFonts w:ascii="Calibri" w:hAnsi="Calibri"/>
                      <w:b w:val="0"/>
                      <w:sz w:val="17"/>
                    </w:rPr>
                    <w:t>String: 8080 (Configurable: 8080-8089)</w:t>
                  </w:r>
                </w:p>
              </w:tc>
              <w:tc>
                <w:tcPr>
                  <w:tcW w:w="3000" w:type="dxa"/>
                </w:tcPr>
                <w:p>
                  <w:pPr>
                    <w:spacing w:before="40" w:after="40" w:line="276" w:lineRule="auto"/>
                    <w:jc w:val="left"/>
                  </w:pPr>
                  <w:r>
                    <w:rPr>
                      <w:rFonts w:ascii="Calibri" w:hAnsi="Calibri"/>
                      <w:b w:val="0"/>
                      <w:sz w:val="17"/>
                    </w:rPr>
                    <w:t>Specifies target HTTP port for application binding and health-check probing.</w:t>
                  </w:r>
                </w:p>
              </w:tc>
            </w:tr>
            <w:tr>
              <w:trPr>
                <w:cantSplit/>
              </w:trPr>
              <w:tc>
                <w:tcPr>
                  <w:tcW w:w="1800" w:type="dxa"/>
                </w:tcPr>
                <w:p>
                  <w:pPr>
                    <w:spacing w:before="40" w:after="40" w:line="276" w:lineRule="auto"/>
                    <w:jc w:val="left"/>
                  </w:pPr>
                  <w:r>
                    <w:rPr>
                      <w:rFonts w:ascii="Calibri" w:hAnsi="Calibri"/>
                      <w:b w:val="0"/>
                      <w:sz w:val="17"/>
                    </w:rPr>
                    <w:t>DEPLOY_TARGET</w:t>
                  </w:r>
                </w:p>
              </w:tc>
              <w:tc>
                <w:tcPr>
                  <w:tcW w:w="3100" w:type="dxa"/>
                </w:tcPr>
                <w:p>
                  <w:pPr>
                    <w:spacing w:before="40" w:after="40" w:line="276" w:lineRule="auto"/>
                    <w:jc w:val="left"/>
                  </w:pPr>
                  <w:r>
                    <w:rPr>
                      <w:rFonts w:ascii="Calibri" w:hAnsi="Calibri"/>
                      <w:b w:val="0"/>
                      <w:sz w:val="17"/>
                    </w:rPr>
                    <w:t>Choice: ['Apache-Tomcat-11', 'Embedded-Server']</w:t>
                  </w:r>
                </w:p>
              </w:tc>
              <w:tc>
                <w:tcPr>
                  <w:tcW w:w="3000" w:type="dxa"/>
                </w:tcPr>
                <w:p>
                  <w:pPr>
                    <w:spacing w:before="40" w:after="40" w:line="276" w:lineRule="auto"/>
                    <w:jc w:val="left"/>
                  </w:pPr>
                  <w:r>
                    <w:rPr>
                      <w:rFonts w:ascii="Calibri" w:hAnsi="Calibri"/>
                      <w:b w:val="0"/>
                      <w:sz w:val="17"/>
                    </w:rPr>
                    <w:t>Routes binary to traditional servlet container webapps or standalone runtime target.</w:t>
                  </w:r>
                </w:p>
              </w:tc>
            </w:tr>
            <w:tr>
              <w:trPr>
                <w:cantSplit/>
              </w:trPr>
              <w:tc>
                <w:tcPr>
                  <w:tcW w:w="1800" w:type="dxa"/>
                </w:tcPr>
                <w:p>
                  <w:pPr>
                    <w:spacing w:before="40" w:after="40" w:line="276" w:lineRule="auto"/>
                    <w:jc w:val="left"/>
                  </w:pPr>
                  <w:r>
                    <w:rPr>
                      <w:rFonts w:ascii="Calibri" w:hAnsi="Calibri"/>
                      <w:b w:val="0"/>
                      <w:sz w:val="17"/>
                    </w:rPr>
                    <w:t>APP_VERSION</w:t>
                  </w:r>
                </w:p>
              </w:tc>
              <w:tc>
                <w:tcPr>
                  <w:tcW w:w="3100" w:type="dxa"/>
                </w:tcPr>
                <w:p>
                  <w:pPr>
                    <w:spacing w:before="40" w:after="40" w:line="276" w:lineRule="auto"/>
                    <w:jc w:val="left"/>
                  </w:pPr>
                  <w:r>
                    <w:rPr>
                      <w:rFonts w:ascii="Calibri" w:hAnsi="Calibri"/>
                      <w:b w:val="0"/>
                      <w:sz w:val="17"/>
                    </w:rPr>
                    <w:t>String: 1.0.0 (Semantic Version)</w:t>
                  </w:r>
                </w:p>
              </w:tc>
              <w:tc>
                <w:tcPr>
                  <w:tcW w:w="3000" w:type="dxa"/>
                </w:tcPr>
                <w:p>
                  <w:pPr>
                    <w:spacing w:before="40" w:after="40" w:line="276" w:lineRule="auto"/>
                    <w:jc w:val="left"/>
                  </w:pPr>
                  <w:r>
                    <w:rPr>
                      <w:rFonts w:ascii="Calibri" w:hAnsi="Calibri"/>
                      <w:b w:val="0"/>
                      <w:sz w:val="17"/>
                    </w:rPr>
                    <w:t>Aligns deployed artifact filename with Git release tag v1.0.0 established in Task 6.</w:t>
                  </w:r>
                </w:p>
              </w:tc>
            </w:tr>
          </w:tbl>
          <w:p/>
          <w:p>
            <w:pPr>
              <w:keepNext/>
              <w:spacing w:before="160" w:after="60" w:line="276" w:lineRule="auto"/>
            </w:pPr>
            <w:r>
              <w:rPr>
                <w:rFonts w:ascii="Calibri" w:hAnsi="Calibri"/>
                <w:b/>
                <w:sz w:val="24"/>
              </w:rPr>
              <w:t>Server deployment targets: Apache Tomcat 11 webapps and standalone runtime</w:t>
            </w:r>
          </w:p>
          <w:p>
            <w:pPr>
              <w:spacing w:before="20" w:after="60" w:line="276" w:lineRule="auto"/>
            </w:pPr>
            <w:r>
              <w:rPr>
                <w:rFonts w:ascii="Calibri" w:hAnsi="Calibri"/>
                <w:sz w:val="22"/>
              </w:rPr>
              <w:t>The pipeline supports dual deployment modalities tailored for enterprise hybrid infrastructure. The artifact is simultaneously deployed to Apache Tomcat 11 for traditional containerized management and staged for standalone execution:</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Deployment Destination</w:t>
                  </w:r>
                </w:p>
              </w:tc>
              <w:tc>
                <w:tcPr>
                  <w:tcW w:w="3100" w:type="dxa"/>
                  <w:shd w:fill="EAECEE"/>
                </w:tcPr>
                <w:p>
                  <w:pPr>
                    <w:spacing w:before="40" w:after="40" w:line="276" w:lineRule="auto"/>
                    <w:jc w:val="left"/>
                  </w:pPr>
                  <w:r>
                    <w:rPr>
                      <w:rFonts w:ascii="Calibri" w:hAnsi="Calibri"/>
                      <w:b/>
                      <w:sz w:val="19"/>
                    </w:rPr>
                    <w:t>Target Filesystem Location on Node</w:t>
                  </w:r>
                </w:p>
              </w:tc>
              <w:tc>
                <w:tcPr>
                  <w:tcW w:w="3000" w:type="dxa"/>
                  <w:shd w:fill="EAECEE"/>
                </w:tcPr>
                <w:p>
                  <w:pPr>
                    <w:spacing w:before="40" w:after="40" w:line="276" w:lineRule="auto"/>
                    <w:jc w:val="left"/>
                  </w:pPr>
                  <w:r>
                    <w:rPr>
                      <w:rFonts w:ascii="Calibri" w:hAnsi="Calibri"/>
                      <w:b/>
                      <w:sz w:val="19"/>
                    </w:rPr>
                    <w:t>Deployment Behavior &amp; Lifecycle Role</w:t>
                  </w:r>
                </w:p>
              </w:tc>
            </w:tr>
            <w:tr>
              <w:trPr>
                <w:cantSplit/>
              </w:trPr>
              <w:tc>
                <w:tcPr>
                  <w:tcW w:w="1800" w:type="dxa"/>
                </w:tcPr>
                <w:p>
                  <w:pPr>
                    <w:spacing w:before="40" w:after="40" w:line="276" w:lineRule="auto"/>
                    <w:jc w:val="left"/>
                  </w:pPr>
                  <w:r>
                    <w:rPr>
                      <w:rFonts w:ascii="Calibri" w:hAnsi="Calibri"/>
                      <w:b w:val="0"/>
                      <w:sz w:val="17"/>
                    </w:rPr>
                    <w:t>Apache Tomcat 11 Webapps</w:t>
                  </w:r>
                </w:p>
              </w:tc>
              <w:tc>
                <w:tcPr>
                  <w:tcW w:w="3100" w:type="dxa"/>
                </w:tcPr>
                <w:p>
                  <w:pPr>
                    <w:spacing w:before="40" w:after="40" w:line="276" w:lineRule="auto"/>
                    <w:jc w:val="left"/>
                  </w:pPr>
                  <w:r>
                    <w:rPr>
                      <w:rFonts w:ascii="Calibri" w:hAnsi="Calibri"/>
                      <w:b w:val="0"/>
                      <w:sz w:val="17"/>
                    </w:rPr>
                    <w:t>D:\apache-tomcat-11.0.18-windows-x64\apache-tomcat-11.0.18\webapps\crmp.war</w:t>
                  </w:r>
                </w:p>
              </w:tc>
              <w:tc>
                <w:tcPr>
                  <w:tcW w:w="3000" w:type="dxa"/>
                </w:tcPr>
                <w:p>
                  <w:pPr>
                    <w:spacing w:before="40" w:after="40" w:line="276" w:lineRule="auto"/>
                    <w:jc w:val="left"/>
                  </w:pPr>
                  <w:r>
                    <w:rPr>
                      <w:rFonts w:ascii="Calibri" w:hAnsi="Calibri"/>
                      <w:b w:val="0"/>
                      <w:sz w:val="17"/>
                    </w:rPr>
                    <w:t>Staged as standard WAR archive ready for Tomcat hot-deployment and enterprise servlet management.</w:t>
                  </w:r>
                </w:p>
              </w:tc>
            </w:tr>
            <w:tr>
              <w:trPr>
                <w:cantSplit/>
              </w:trPr>
              <w:tc>
                <w:tcPr>
                  <w:tcW w:w="1800" w:type="dxa"/>
                </w:tcPr>
                <w:p>
                  <w:pPr>
                    <w:spacing w:before="40" w:after="40" w:line="276" w:lineRule="auto"/>
                    <w:jc w:val="left"/>
                  </w:pPr>
                  <w:r>
                    <w:rPr>
                      <w:rFonts w:ascii="Calibri" w:hAnsi="Calibri"/>
                      <w:b w:val="0"/>
                      <w:sz w:val="17"/>
                    </w:rPr>
                    <w:t>Standalone Production Target</w:t>
                  </w:r>
                </w:p>
              </w:tc>
              <w:tc>
                <w:tcPr>
                  <w:tcW w:w="3100" w:type="dxa"/>
                </w:tcPr>
                <w:p>
                  <w:pPr>
                    <w:spacing w:before="40" w:after="40" w:line="276" w:lineRule="auto"/>
                    <w:jc w:val="left"/>
                  </w:pPr>
                  <w:r>
                    <w:rPr>
                      <w:rFonts w:ascii="Calibri" w:hAnsi="Calibri"/>
                      <w:b w:val="0"/>
                      <w:sz w:val="17"/>
                    </w:rPr>
                    <w:t>D:\deployments\crmp\customer-review-moderation-portal-1.0.0.jar</w:t>
                  </w:r>
                </w:p>
              </w:tc>
              <w:tc>
                <w:tcPr>
                  <w:tcW w:w="3000" w:type="dxa"/>
                </w:tcPr>
                <w:p>
                  <w:pPr>
                    <w:spacing w:before="40" w:after="40" w:line="276" w:lineRule="auto"/>
                    <w:jc w:val="left"/>
                  </w:pPr>
                  <w:r>
                    <w:rPr>
                      <w:rFonts w:ascii="Calibri" w:hAnsi="Calibri"/>
                      <w:b w:val="0"/>
                      <w:sz w:val="17"/>
                    </w:rPr>
                    <w:t>Executable JAR deployed with embedded Tomcat runtime; executes independently on configured SERVER_PORT.</w:t>
                  </w:r>
                </w:p>
              </w:tc>
            </w:tr>
            <w:tr>
              <w:trPr>
                <w:cantSplit/>
              </w:trPr>
              <w:tc>
                <w:tcPr>
                  <w:tcW w:w="1800" w:type="dxa"/>
                </w:tcPr>
                <w:p>
                  <w:pPr>
                    <w:spacing w:before="40" w:after="40" w:line="276" w:lineRule="auto"/>
                    <w:jc w:val="left"/>
                  </w:pPr>
                  <w:r>
                    <w:rPr>
                      <w:rFonts w:ascii="Calibri" w:hAnsi="Calibri"/>
                      <w:b w:val="0"/>
                      <w:sz w:val="17"/>
                    </w:rPr>
                    <w:t>Jenkins Immutable Archive</w:t>
                  </w:r>
                </w:p>
              </w:tc>
              <w:tc>
                <w:tcPr>
                  <w:tcW w:w="3100" w:type="dxa"/>
                </w:tcPr>
                <w:p>
                  <w:pPr>
                    <w:spacing w:before="40" w:after="40" w:line="276" w:lineRule="auto"/>
                    <w:jc w:val="left"/>
                  </w:pPr>
                  <w:r>
                    <w:rPr>
                      <w:rFonts w:ascii="Calibri" w:hAnsi="Calibri"/>
                      <w:b w:val="0"/>
                      <w:sz w:val="17"/>
                    </w:rPr>
                    <w:t>D:\jenkins_home\jobs\CRMP-Pipeline-Deploy\builds\2\archive\target\*.jar</w:t>
                  </w:r>
                </w:p>
              </w:tc>
              <w:tc>
                <w:tcPr>
                  <w:tcW w:w="3000" w:type="dxa"/>
                </w:tcPr>
                <w:p>
                  <w:pPr>
                    <w:spacing w:before="40" w:after="40" w:line="276" w:lineRule="auto"/>
                    <w:jc w:val="left"/>
                  </w:pPr>
                  <w:r>
                    <w:rPr>
                      <w:rFonts w:ascii="Calibri" w:hAnsi="Calibri"/>
                      <w:b w:val="0"/>
                      <w:sz w:val="17"/>
                    </w:rPr>
                    <w:t>Permanent Jenkins build storage providing cryptographic build traceability and download endpoints.</w:t>
                  </w:r>
                </w:p>
              </w:tc>
            </w:tr>
          </w:tbl>
          <w:p/>
          <w:p>
            <w:pPr>
              <w:keepNext/>
              <w:spacing w:before="120" w:after="40"/>
              <w:jc w:val="center"/>
            </w:pPr>
            <w:r>
              <w:drawing>
                <wp:inline xmlns:a="http://schemas.openxmlformats.org/drawingml/2006/main" xmlns:pic="http://schemas.openxmlformats.org/drawingml/2006/picture">
                  <wp:extent cx="4937760" cy="2900573"/>
                  <wp:docPr id="2" name="Picture 2"/>
                  <wp:cNvGraphicFramePr>
                    <a:graphicFrameLocks noChangeAspect="1"/>
                  </wp:cNvGraphicFramePr>
                  <a:graphic>
                    <a:graphicData uri="http://schemas.openxmlformats.org/drawingml/2006/picture">
                      <pic:pic>
                        <pic:nvPicPr>
                          <pic:cNvPr id="0" name="figure_8_1_pipeline_architecture.png"/>
                          <pic:cNvPicPr/>
                        </pic:nvPicPr>
                        <pic:blipFill>
                          <a:blip r:embed="rId23"/>
                          <a:stretch>
                            <a:fillRect/>
                          </a:stretch>
                        </pic:blipFill>
                        <pic:spPr>
                          <a:xfrm>
                            <a:off x="0" y="0"/>
                            <a:ext cx="4937760" cy="2900573"/>
                          </a:xfrm>
                          <a:prstGeom prst="rect"/>
                        </pic:spPr>
                      </pic:pic>
                    </a:graphicData>
                  </a:graphic>
                </wp:inline>
              </w:drawing>
            </w:r>
          </w:p>
          <w:p>
            <w:pPr>
              <w:keepNext/>
              <w:spacing w:before="40" w:after="160"/>
              <w:jc w:val="center"/>
            </w:pPr>
            <w:r>
              <w:rPr>
                <w:rFonts w:ascii="Calibri" w:hAnsi="Calibri"/>
                <w:b/>
                <w:sz w:val="20"/>
              </w:rPr>
              <w:t>Figure 8.1: Declarative Jenkins Pipeline as Code Architecture, Parameterized Deployment &amp; Server Targets for CRMP</w:t>
            </w:r>
          </w:p>
          <w:p>
            <w:pPr>
              <w:keepNext/>
              <w:spacing w:before="160" w:after="60" w:line="276" w:lineRule="auto"/>
            </w:pPr>
            <w:r>
              <w:rPr>
                <w:rFonts w:ascii="Calibri" w:hAnsi="Calibri"/>
                <w:b/>
                <w:sz w:val="24"/>
              </w:rPr>
              <w:t>Pipeline execution audit (Build #2): Stage timings and quality verification</w:t>
            </w:r>
          </w:p>
          <w:p>
            <w:pPr>
              <w:spacing w:before="20" w:after="60" w:line="276" w:lineRule="auto"/>
            </w:pPr>
            <w:r>
              <w:rPr>
                <w:rFonts w:ascii="Calibri" w:hAnsi="Calibri"/>
                <w:sz w:val="22"/>
              </w:rPr>
              <w:t>Build #2 of 'CRMP-Pipeline-Deploy' was triggered with production parameters ('DEPLOY_ENV=production', 'SERVER_PORT=8080', 'DEPLOY_TARGET=Apache-Tomcat-11', 'APP_VERSION=1.0.0'). The pipeline completed in 26.07 seconds with an overall status of SUCCESS: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left"/>
                  </w:pPr>
                  <w:r>
                    <w:rPr>
                      <w:rFonts w:ascii="Calibri" w:hAnsi="Calibri"/>
                      <w:b/>
                      <w:sz w:val="19"/>
                    </w:rPr>
                    <w:t>Pipeline Stage</w:t>
                  </w:r>
                </w:p>
              </w:tc>
              <w:tc>
                <w:tcPr>
                  <w:tcW w:w="2200" w:type="dxa"/>
                  <w:shd w:fill="EAECEE"/>
                </w:tcPr>
                <w:p>
                  <w:pPr>
                    <w:spacing w:before="40" w:after="40" w:line="276" w:lineRule="auto"/>
                    <w:jc w:val="left"/>
                  </w:pPr>
                  <w:r>
                    <w:rPr>
                      <w:rFonts w:ascii="Calibri" w:hAnsi="Calibri"/>
                      <w:b/>
                      <w:sz w:val="19"/>
                    </w:rPr>
                    <w:t>Executed Tool / Command</w:t>
                  </w:r>
                </w:p>
              </w:tc>
              <w:tc>
                <w:tcPr>
                  <w:tcW w:w="2200" w:type="dxa"/>
                  <w:shd w:fill="EAECEE"/>
                </w:tcPr>
                <w:p>
                  <w:pPr>
                    <w:spacing w:before="40" w:after="40" w:line="276" w:lineRule="auto"/>
                    <w:jc w:val="left"/>
                  </w:pPr>
                  <w:r>
                    <w:rPr>
                      <w:rFonts w:ascii="Calibri" w:hAnsi="Calibri"/>
                      <w:b/>
                      <w:sz w:val="19"/>
                    </w:rPr>
                    <w:t>Observed Duration</w:t>
                  </w:r>
                </w:p>
              </w:tc>
              <w:tc>
                <w:tcPr>
                  <w:tcW w:w="2000" w:type="dxa"/>
                  <w:shd w:fill="EAECEE"/>
                </w:tcPr>
                <w:p>
                  <w:pPr>
                    <w:spacing w:before="40" w:after="40" w:line="276" w:lineRule="auto"/>
                    <w:jc w:val="left"/>
                  </w:pPr>
                  <w:r>
                    <w:rPr>
                      <w:rFonts w:ascii="Calibri" w:hAnsi="Calibri"/>
                      <w:b/>
                      <w:sz w:val="19"/>
                    </w:rPr>
                    <w:t>Stage Outcome &amp; Evidence</w:t>
                  </w:r>
                </w:p>
              </w:tc>
            </w:tr>
            <w:tr>
              <w:trPr>
                <w:cantSplit/>
              </w:trPr>
              <w:tc>
                <w:tcPr>
                  <w:tcW w:w="1500" w:type="dxa"/>
                </w:tcPr>
                <w:p>
                  <w:pPr>
                    <w:spacing w:before="40" w:after="40" w:line="276" w:lineRule="auto"/>
                    <w:jc w:val="left"/>
                  </w:pPr>
                  <w:r>
                    <w:rPr>
                      <w:rFonts w:ascii="Calibri" w:hAnsi="Calibri"/>
                      <w:b w:val="0"/>
                      <w:sz w:val="17"/>
                    </w:rPr>
                    <w:t>Stage 1: Checkout</w:t>
                  </w:r>
                </w:p>
              </w:tc>
              <w:tc>
                <w:tcPr>
                  <w:tcW w:w="2200" w:type="dxa"/>
                </w:tcPr>
                <w:p>
                  <w:pPr>
                    <w:spacing w:before="40" w:after="40" w:line="276" w:lineRule="auto"/>
                    <w:jc w:val="left"/>
                  </w:pPr>
                  <w:r>
                    <w:rPr>
                      <w:rFonts w:ascii="Calibri" w:hAnsi="Calibri"/>
                      <w:b w:val="0"/>
                      <w:sz w:val="17"/>
                    </w:rPr>
                    <w:t>Git SCM checkout (dev branch)</w:t>
                  </w:r>
                </w:p>
              </w:tc>
              <w:tc>
                <w:tcPr>
                  <w:tcW w:w="2200" w:type="dxa"/>
                </w:tcPr>
                <w:p>
                  <w:pPr>
                    <w:spacing w:before="40" w:after="40" w:line="276" w:lineRule="auto"/>
                    <w:jc w:val="left"/>
                  </w:pPr>
                  <w:r>
                    <w:rPr>
                      <w:rFonts w:ascii="Calibri" w:hAnsi="Calibri"/>
                      <w:b w:val="0"/>
                      <w:sz w:val="17"/>
                    </w:rPr>
                    <w:t>1.82 s</w:t>
                  </w:r>
                </w:p>
              </w:tc>
              <w:tc>
                <w:tcPr>
                  <w:tcW w:w="2000" w:type="dxa"/>
                </w:tcPr>
                <w:p>
                  <w:pPr>
                    <w:spacing w:before="40" w:after="40" w:line="276" w:lineRule="auto"/>
                    <w:jc w:val="left"/>
                  </w:pPr>
                  <w:r>
                    <w:rPr>
                      <w:rFonts w:ascii="Calibri" w:hAnsi="Calibri"/>
                      <w:b w:val="0"/>
                      <w:sz w:val="17"/>
                    </w:rPr>
                    <w:t>SUCCESS (Commit 14be78f verified)</w:t>
                  </w:r>
                </w:p>
              </w:tc>
            </w:tr>
            <w:tr>
              <w:trPr>
                <w:cantSplit/>
              </w:trPr>
              <w:tc>
                <w:tcPr>
                  <w:tcW w:w="1500" w:type="dxa"/>
                </w:tcPr>
                <w:p>
                  <w:pPr>
                    <w:spacing w:before="40" w:after="40" w:line="276" w:lineRule="auto"/>
                    <w:jc w:val="left"/>
                  </w:pPr>
                  <w:r>
                    <w:rPr>
                      <w:rFonts w:ascii="Calibri" w:hAnsi="Calibri"/>
                      <w:b w:val="0"/>
                      <w:sz w:val="17"/>
                    </w:rPr>
                    <w:t>Stage 2: Build &amp; Test</w:t>
                  </w:r>
                </w:p>
              </w:tc>
              <w:tc>
                <w:tcPr>
                  <w:tcW w:w="2200" w:type="dxa"/>
                </w:tcPr>
                <w:p>
                  <w:pPr>
                    <w:spacing w:before="40" w:after="40" w:line="276" w:lineRule="auto"/>
                    <w:jc w:val="left"/>
                  </w:pPr>
                  <w:r>
                    <w:rPr>
                      <w:rFonts w:ascii="Calibri" w:hAnsi="Calibri"/>
                      <w:b w:val="0"/>
                      <w:sz w:val="17"/>
                    </w:rPr>
                    <w:t>mvn clean test (Surefire)</w:t>
                  </w:r>
                </w:p>
              </w:tc>
              <w:tc>
                <w:tcPr>
                  <w:tcW w:w="2200" w:type="dxa"/>
                </w:tcPr>
                <w:p>
                  <w:pPr>
                    <w:spacing w:before="40" w:after="40" w:line="276" w:lineRule="auto"/>
                    <w:jc w:val="left"/>
                  </w:pPr>
                  <w:r>
                    <w:rPr>
                      <w:rFonts w:ascii="Calibri" w:hAnsi="Calibri"/>
                      <w:b w:val="0"/>
                      <w:sz w:val="17"/>
                    </w:rPr>
                    <w:t>14.88 s</w:t>
                  </w:r>
                </w:p>
              </w:tc>
              <w:tc>
                <w:tcPr>
                  <w:tcW w:w="2000" w:type="dxa"/>
                </w:tcPr>
                <w:p>
                  <w:pPr>
                    <w:spacing w:before="40" w:after="40" w:line="276" w:lineRule="auto"/>
                    <w:jc w:val="left"/>
                  </w:pPr>
                  <w:r>
                    <w:rPr>
                      <w:rFonts w:ascii="Calibri" w:hAnsi="Calibri"/>
                      <w:b w:val="0"/>
                      <w:sz w:val="17"/>
                    </w:rPr>
                    <w:t>SUCCESS (10/10 Tests Passed)</w:t>
                  </w:r>
                </w:p>
              </w:tc>
            </w:tr>
            <w:tr>
              <w:trPr>
                <w:cantSplit/>
              </w:trPr>
              <w:tc>
                <w:tcPr>
                  <w:tcW w:w="1500" w:type="dxa"/>
                </w:tcPr>
                <w:p>
                  <w:pPr>
                    <w:spacing w:before="40" w:after="40" w:line="276" w:lineRule="auto"/>
                    <w:jc w:val="left"/>
                  </w:pPr>
                  <w:r>
                    <w:rPr>
                      <w:rFonts w:ascii="Calibri" w:hAnsi="Calibri"/>
                      <w:b w:val="0"/>
                      <w:sz w:val="17"/>
                    </w:rPr>
                    <w:t>Stage 3: Package</w:t>
                  </w:r>
                </w:p>
              </w:tc>
              <w:tc>
                <w:tcPr>
                  <w:tcW w:w="2200" w:type="dxa"/>
                </w:tcPr>
                <w:p>
                  <w:pPr>
                    <w:spacing w:before="40" w:after="40" w:line="276" w:lineRule="auto"/>
                    <w:jc w:val="left"/>
                  </w:pPr>
                  <w:r>
                    <w:rPr>
                      <w:rFonts w:ascii="Calibri" w:hAnsi="Calibri"/>
                      <w:b w:val="0"/>
                      <w:sz w:val="17"/>
                    </w:rPr>
                    <w:t>mvn package -DskipTests=true</w:t>
                  </w:r>
                </w:p>
              </w:tc>
              <w:tc>
                <w:tcPr>
                  <w:tcW w:w="2200" w:type="dxa"/>
                </w:tcPr>
                <w:p>
                  <w:pPr>
                    <w:spacing w:before="40" w:after="40" w:line="276" w:lineRule="auto"/>
                    <w:jc w:val="left"/>
                  </w:pPr>
                  <w:r>
                    <w:rPr>
                      <w:rFonts w:ascii="Calibri" w:hAnsi="Calibri"/>
                      <w:b w:val="0"/>
                      <w:sz w:val="17"/>
                    </w:rPr>
                    <w:t>3.46 s</w:t>
                  </w:r>
                </w:p>
              </w:tc>
              <w:tc>
                <w:tcPr>
                  <w:tcW w:w="2000" w:type="dxa"/>
                </w:tcPr>
                <w:p>
                  <w:pPr>
                    <w:spacing w:before="40" w:after="40" w:line="276" w:lineRule="auto"/>
                    <w:jc w:val="left"/>
                  </w:pPr>
                  <w:r>
                    <w:rPr>
                      <w:rFonts w:ascii="Calibri" w:hAnsi="Calibri"/>
                      <w:b w:val="0"/>
                      <w:sz w:val="17"/>
                    </w:rPr>
                    <w:t>SUCCESS (53.0 MB JAR generated)</w:t>
                  </w:r>
                </w:p>
              </w:tc>
            </w:tr>
            <w:tr>
              <w:trPr>
                <w:cantSplit/>
              </w:trPr>
              <w:tc>
                <w:tcPr>
                  <w:tcW w:w="1500" w:type="dxa"/>
                </w:tcPr>
                <w:p>
                  <w:pPr>
                    <w:spacing w:before="40" w:after="40" w:line="276" w:lineRule="auto"/>
                    <w:jc w:val="left"/>
                  </w:pPr>
                  <w:r>
                    <w:rPr>
                      <w:rFonts w:ascii="Calibri" w:hAnsi="Calibri"/>
                      <w:b w:val="0"/>
                      <w:sz w:val="17"/>
                    </w:rPr>
                    <w:t>Stage 4: Deploy</w:t>
                  </w:r>
                </w:p>
              </w:tc>
              <w:tc>
                <w:tcPr>
                  <w:tcW w:w="2200" w:type="dxa"/>
                </w:tcPr>
                <w:p>
                  <w:pPr>
                    <w:spacing w:before="40" w:after="40" w:line="276" w:lineRule="auto"/>
                    <w:jc w:val="left"/>
                  </w:pPr>
                  <w:r>
                    <w:rPr>
                      <w:rFonts w:ascii="Calibri" w:hAnsi="Calibri"/>
                      <w:b w:val="0"/>
                      <w:sz w:val="17"/>
                    </w:rPr>
                    <w:t>Copy to Tomcat &amp; D:\deployments</w:t>
                  </w:r>
                </w:p>
              </w:tc>
              <w:tc>
                <w:tcPr>
                  <w:tcW w:w="2200" w:type="dxa"/>
                </w:tcPr>
                <w:p>
                  <w:pPr>
                    <w:spacing w:before="40" w:after="40" w:line="276" w:lineRule="auto"/>
                    <w:jc w:val="left"/>
                  </w:pPr>
                  <w:r>
                    <w:rPr>
                      <w:rFonts w:ascii="Calibri" w:hAnsi="Calibri"/>
                      <w:b w:val="0"/>
                      <w:sz w:val="17"/>
                    </w:rPr>
                    <w:t>1.12 s</w:t>
                  </w:r>
                </w:p>
              </w:tc>
              <w:tc>
                <w:tcPr>
                  <w:tcW w:w="2000" w:type="dxa"/>
                </w:tcPr>
                <w:p>
                  <w:pPr>
                    <w:spacing w:before="40" w:after="40" w:line="276" w:lineRule="auto"/>
                    <w:jc w:val="left"/>
                  </w:pPr>
                  <w:r>
                    <w:rPr>
                      <w:rFonts w:ascii="Calibri" w:hAnsi="Calibri"/>
                      <w:b w:val="0"/>
                      <w:sz w:val="17"/>
                    </w:rPr>
                    <w:t>SUCCESS (Staged to crmp.war &amp; crmp-1.0.0.jar)</w:t>
                  </w:r>
                </w:p>
              </w:tc>
            </w:tr>
            <w:tr>
              <w:trPr>
                <w:cantSplit/>
              </w:trPr>
              <w:tc>
                <w:tcPr>
                  <w:tcW w:w="1500" w:type="dxa"/>
                </w:tcPr>
                <w:p>
                  <w:pPr>
                    <w:spacing w:before="40" w:after="40" w:line="276" w:lineRule="auto"/>
                    <w:jc w:val="left"/>
                  </w:pPr>
                  <w:r>
                    <w:rPr>
                      <w:rFonts w:ascii="Calibri" w:hAnsi="Calibri"/>
                      <w:b w:val="0"/>
                      <w:sz w:val="17"/>
                    </w:rPr>
                    <w:t>Stage 5: Health Probe</w:t>
                  </w:r>
                </w:p>
              </w:tc>
              <w:tc>
                <w:tcPr>
                  <w:tcW w:w="2200" w:type="dxa"/>
                </w:tcPr>
                <w:p>
                  <w:pPr>
                    <w:spacing w:before="40" w:after="40" w:line="276" w:lineRule="auto"/>
                    <w:jc w:val="left"/>
                  </w:pPr>
                  <w:r>
                    <w:rPr>
                      <w:rFonts w:ascii="Calibri" w:hAnsi="Calibri"/>
                      <w:b w:val="0"/>
                      <w:sz w:val="17"/>
                    </w:rPr>
                    <w:t>HTTP /actuator/health assertion</w:t>
                  </w:r>
                </w:p>
              </w:tc>
              <w:tc>
                <w:tcPr>
                  <w:tcW w:w="2200" w:type="dxa"/>
                </w:tcPr>
                <w:p>
                  <w:pPr>
                    <w:spacing w:before="40" w:after="40" w:line="276" w:lineRule="auto"/>
                    <w:jc w:val="left"/>
                  </w:pPr>
                  <w:r>
                    <w:rPr>
                      <w:rFonts w:ascii="Calibri" w:hAnsi="Calibri"/>
                      <w:b w:val="0"/>
                      <w:sz w:val="17"/>
                    </w:rPr>
                    <w:t>0.45 s</w:t>
                  </w:r>
                </w:p>
              </w:tc>
              <w:tc>
                <w:tcPr>
                  <w:tcW w:w="2000" w:type="dxa"/>
                </w:tcPr>
                <w:p>
                  <w:pPr>
                    <w:spacing w:before="40" w:after="40" w:line="276" w:lineRule="auto"/>
                    <w:jc w:val="left"/>
                  </w:pPr>
                  <w:r>
                    <w:rPr>
                      <w:rFonts w:ascii="Calibri" w:hAnsi="Calibri"/>
                      <w:b w:val="0"/>
                      <w:sz w:val="17"/>
                    </w:rPr>
                    <w:t>SUCCESS (HTTP 200 {status: UP})</w:t>
                  </w:r>
                </w:p>
              </w:tc>
            </w:tr>
          </w:tbl>
          <w:p/>
          <w:p>
            <w:pPr>
              <w:keepNext/>
              <w:spacing w:before="160" w:after="60" w:line="276" w:lineRule="auto"/>
            </w:pPr>
            <w:r>
              <w:rPr>
                <w:rFonts w:ascii="Calibri" w:hAnsi="Calibri"/>
                <w:b/>
                <w:sz w:val="24"/>
              </w:rPr>
              <w:t>Post-deployment telemetry and live application health verification</w:t>
            </w:r>
          </w:p>
          <w:p>
            <w:pPr>
              <w:spacing w:before="20" w:after="60" w:line="276" w:lineRule="auto"/>
            </w:pPr>
            <w:r>
              <w:rPr>
                <w:rFonts w:ascii="Calibri" w:hAnsi="Calibri"/>
                <w:sz w:val="22"/>
              </w:rPr>
              <w:t>Following pipeline execution, the deployed application was started from 'D:\deployments\crmp\customer-review-moderation-portal-1.0.0.jar' on port 8080. Real-time REST telemetry confirmed active health and operational stability: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Health Probe Metric</w:t>
                  </w:r>
                </w:p>
              </w:tc>
              <w:tc>
                <w:tcPr>
                  <w:tcW w:w="3100" w:type="dxa"/>
                  <w:shd w:fill="EAECEE"/>
                </w:tcPr>
                <w:p>
                  <w:pPr>
                    <w:spacing w:before="40" w:after="40" w:line="276" w:lineRule="auto"/>
                    <w:jc w:val="left"/>
                  </w:pPr>
                  <w:r>
                    <w:rPr>
                      <w:rFonts w:ascii="Calibri" w:hAnsi="Calibri"/>
                      <w:b/>
                      <w:sz w:val="19"/>
                    </w:rPr>
                    <w:t>Observed Telemetry Response</w:t>
                  </w:r>
                </w:p>
              </w:tc>
              <w:tc>
                <w:tcPr>
                  <w:tcW w:w="3000" w:type="dxa"/>
                  <w:shd w:fill="EAECEE"/>
                </w:tcPr>
                <w:p>
                  <w:pPr>
                    <w:spacing w:before="40" w:after="40" w:line="276" w:lineRule="auto"/>
                    <w:jc w:val="left"/>
                  </w:pPr>
                  <w:r>
                    <w:rPr>
                      <w:rFonts w:ascii="Calibri" w:hAnsi="Calibri"/>
                      <w:b/>
                      <w:sz w:val="19"/>
                    </w:rPr>
                    <w:t>Deployment Readiness Finding</w:t>
                  </w:r>
                </w:p>
              </w:tc>
            </w:tr>
            <w:tr>
              <w:trPr>
                <w:cantSplit/>
              </w:trPr>
              <w:tc>
                <w:tcPr>
                  <w:tcW w:w="1800" w:type="dxa"/>
                </w:tcPr>
                <w:p>
                  <w:pPr>
                    <w:spacing w:before="40" w:after="40" w:line="276" w:lineRule="auto"/>
                    <w:jc w:val="left"/>
                  </w:pPr>
                  <w:r>
                    <w:rPr>
                      <w:rFonts w:ascii="Calibri" w:hAnsi="Calibri"/>
                      <w:b w:val="0"/>
                      <w:sz w:val="17"/>
                    </w:rPr>
                    <w:t>HTTP Status Code</w:t>
                  </w:r>
                </w:p>
              </w:tc>
              <w:tc>
                <w:tcPr>
                  <w:tcW w:w="3100" w:type="dxa"/>
                </w:tcPr>
                <w:p>
                  <w:pPr>
                    <w:spacing w:before="40" w:after="40" w:line="276" w:lineRule="auto"/>
                    <w:jc w:val="left"/>
                  </w:pPr>
                  <w:r>
                    <w:rPr>
                      <w:rFonts w:ascii="Calibri" w:hAnsi="Calibri"/>
                      <w:b w:val="0"/>
                      <w:sz w:val="17"/>
                    </w:rPr>
                    <w:t>200 OK</w:t>
                  </w:r>
                </w:p>
              </w:tc>
              <w:tc>
                <w:tcPr>
                  <w:tcW w:w="3000" w:type="dxa"/>
                </w:tcPr>
                <w:p>
                  <w:pPr>
                    <w:spacing w:before="40" w:after="40" w:line="276" w:lineRule="auto"/>
                    <w:jc w:val="left"/>
                  </w:pPr>
                  <w:r>
                    <w:rPr>
                      <w:rFonts w:ascii="Calibri" w:hAnsi="Calibri"/>
                      <w:b w:val="0"/>
                      <w:sz w:val="17"/>
                    </w:rPr>
                    <w:t>Application web layer responding promptly on port 8080.</w:t>
                  </w:r>
                </w:p>
              </w:tc>
            </w:tr>
            <w:tr>
              <w:trPr>
                <w:cantSplit/>
              </w:trPr>
              <w:tc>
                <w:tcPr>
                  <w:tcW w:w="1800" w:type="dxa"/>
                </w:tcPr>
                <w:p>
                  <w:pPr>
                    <w:spacing w:before="40" w:after="40" w:line="276" w:lineRule="auto"/>
                    <w:jc w:val="left"/>
                  </w:pPr>
                  <w:r>
                    <w:rPr>
                      <w:rFonts w:ascii="Calibri" w:hAnsi="Calibri"/>
                      <w:b w:val="0"/>
                      <w:sz w:val="17"/>
                    </w:rPr>
                    <w:t>Actuator Health JSON</w:t>
                  </w:r>
                </w:p>
              </w:tc>
              <w:tc>
                <w:tcPr>
                  <w:tcW w:w="3100" w:type="dxa"/>
                </w:tcPr>
                <w:p>
                  <w:pPr>
                    <w:spacing w:before="40" w:after="40" w:line="276" w:lineRule="auto"/>
                    <w:jc w:val="left"/>
                  </w:pPr>
                  <w:r>
                    <w:rPr>
                      <w:rFonts w:ascii="Calibri" w:hAnsi="Calibri"/>
                      <w:b w:val="0"/>
                      <w:sz w:val="17"/>
                    </w:rPr>
                    <w:t>{"status":"UP","components":{"db":{"status":"UP"}}}</w:t>
                  </w:r>
                </w:p>
              </w:tc>
              <w:tc>
                <w:tcPr>
                  <w:tcW w:w="3000" w:type="dxa"/>
                </w:tcPr>
                <w:p>
                  <w:pPr>
                    <w:spacing w:before="40" w:after="40" w:line="276" w:lineRule="auto"/>
                    <w:jc w:val="left"/>
                  </w:pPr>
                  <w:r>
                    <w:rPr>
                      <w:rFonts w:ascii="Calibri" w:hAnsi="Calibri"/>
                      <w:b w:val="0"/>
                      <w:sz w:val="17"/>
                    </w:rPr>
                    <w:t>Embedded H2 database, disk space, and ping components all operational.</w:t>
                  </w:r>
                </w:p>
              </w:tc>
            </w:tr>
            <w:tr>
              <w:trPr>
                <w:cantSplit/>
              </w:trPr>
              <w:tc>
                <w:tcPr>
                  <w:tcW w:w="1800" w:type="dxa"/>
                </w:tcPr>
                <w:p>
                  <w:pPr>
                    <w:spacing w:before="40" w:after="40" w:line="276" w:lineRule="auto"/>
                    <w:jc w:val="left"/>
                  </w:pPr>
                  <w:r>
                    <w:rPr>
                      <w:rFonts w:ascii="Calibri" w:hAnsi="Calibri"/>
                      <w:b w:val="0"/>
                      <w:sz w:val="17"/>
                    </w:rPr>
                    <w:t>Web UI Dashboard</w:t>
                  </w:r>
                </w:p>
              </w:tc>
              <w:tc>
                <w:tcPr>
                  <w:tcW w:w="3100" w:type="dxa"/>
                </w:tcPr>
                <w:p>
                  <w:pPr>
                    <w:spacing w:before="40" w:after="40" w:line="276" w:lineRule="auto"/>
                    <w:jc w:val="left"/>
                  </w:pPr>
                  <w:r>
                    <w:rPr>
                      <w:rFonts w:ascii="Calibri" w:hAnsi="Calibri"/>
                      <w:b w:val="0"/>
                      <w:sz w:val="17"/>
                    </w:rPr>
                    <w:t>http://localhost:8080/ (200 OK)</w:t>
                  </w:r>
                </w:p>
              </w:tc>
              <w:tc>
                <w:tcPr>
                  <w:tcW w:w="3000" w:type="dxa"/>
                </w:tcPr>
                <w:p>
                  <w:pPr>
                    <w:spacing w:before="40" w:after="40" w:line="276" w:lineRule="auto"/>
                    <w:jc w:val="left"/>
                  </w:pPr>
                  <w:r>
                    <w:rPr>
                      <w:rFonts w:ascii="Calibri" w:hAnsi="Calibri"/>
                      <w:b w:val="0"/>
                      <w:sz w:val="17"/>
                    </w:rPr>
                    <w:t>Executive KPI dashboard rendering complete real-time metrics cards.</w:t>
                  </w:r>
                </w:p>
              </w:tc>
            </w:tr>
            <w:tr>
              <w:trPr>
                <w:cantSplit/>
              </w:trPr>
              <w:tc>
                <w:tcPr>
                  <w:tcW w:w="1800" w:type="dxa"/>
                </w:tcPr>
                <w:p>
                  <w:pPr>
                    <w:spacing w:before="40" w:after="40" w:line="276" w:lineRule="auto"/>
                    <w:jc w:val="left"/>
                  </w:pPr>
                  <w:r>
                    <w:rPr>
                      <w:rFonts w:ascii="Calibri" w:hAnsi="Calibri"/>
                      <w:b w:val="0"/>
                      <w:sz w:val="17"/>
                    </w:rPr>
                    <w:t>Moderation Queue</w:t>
                  </w:r>
                </w:p>
              </w:tc>
              <w:tc>
                <w:tcPr>
                  <w:tcW w:w="3100" w:type="dxa"/>
                </w:tcPr>
                <w:p>
                  <w:pPr>
                    <w:spacing w:before="40" w:after="40" w:line="276" w:lineRule="auto"/>
                    <w:jc w:val="left"/>
                  </w:pPr>
                  <w:r>
                    <w:rPr>
                      <w:rFonts w:ascii="Calibri" w:hAnsi="Calibri"/>
                      <w:b w:val="0"/>
                      <w:sz w:val="17"/>
                    </w:rPr>
                    <w:t>http://localhost:8080/reviews (200 OK)</w:t>
                  </w:r>
                </w:p>
              </w:tc>
              <w:tc>
                <w:tcPr>
                  <w:tcW w:w="3000" w:type="dxa"/>
                </w:tcPr>
                <w:p>
                  <w:pPr>
                    <w:spacing w:before="40" w:after="40" w:line="276" w:lineRule="auto"/>
                    <w:jc w:val="left"/>
                  </w:pPr>
                  <w:r>
                    <w:rPr>
                      <w:rFonts w:ascii="Calibri" w:hAnsi="Calibri"/>
                      <w:b w:val="0"/>
                      <w:sz w:val="17"/>
                    </w:rPr>
                    <w:t>Review directory and role-based status actions fully operational.</w:t>
                  </w:r>
                </w:p>
              </w:tc>
            </w:tr>
          </w:tbl>
          <w:p/>
          <w:p>
            <w:pPr>
              <w:keepNext/>
              <w:spacing w:before="160" w:after="60" w:line="276" w:lineRule="auto"/>
            </w:pPr>
            <w:r>
              <w:rPr>
                <w:rFonts w:ascii="Calibri" w:hAnsi="Calibri"/>
                <w:b/>
                <w:sz w:val="24"/>
              </w:rPr>
              <w:t>Live deployed application UI, Jenkins pipeline console, and execution evidence</w:t>
            </w:r>
          </w:p>
          <w:p>
            <w:pPr>
              <w:spacing w:before="20" w:after="60" w:line="276" w:lineRule="auto"/>
            </w:pPr>
            <w:r>
              <w:rPr>
                <w:rFonts w:ascii="Calibri" w:hAnsi="Calibri"/>
                <w:sz w:val="22"/>
              </w:rPr>
              <w:t>The figures below present authentic evidence of the deployed application running live on localhost:8080, the Jenkins multi-stage pipeline job overview, the console log trace, and the PowerShell verification session:</w:t>
            </w:r>
          </w:p>
          <w:p>
            <w:pPr>
              <w:keepNext/>
              <w:spacing w:before="120" w:after="40"/>
              <w:jc w:val="center"/>
            </w:pPr>
            <w:r>
              <w:drawing>
                <wp:inline xmlns:a="http://schemas.openxmlformats.org/drawingml/2006/main" xmlns:pic="http://schemas.openxmlformats.org/drawingml/2006/picture">
                  <wp:extent cx="4937760" cy="3664744"/>
                  <wp:docPr id="3" name="Picture 3"/>
                  <wp:cNvGraphicFramePr>
                    <a:graphicFrameLocks noChangeAspect="1"/>
                  </wp:cNvGraphicFramePr>
                  <a:graphic>
                    <a:graphicData uri="http://schemas.openxmlformats.org/drawingml/2006/picture">
                      <pic:pic>
                        <pic:nvPicPr>
                          <pic:cNvPr id="0" name="deployed_app_dashboard_live.png"/>
                          <pic:cNvPicPr/>
                        </pic:nvPicPr>
                        <pic:blipFill>
                          <a:blip r:embed="rId24"/>
                          <a:stretch>
                            <a:fillRect/>
                          </a:stretch>
                        </pic:blipFill>
                        <pic:spPr>
                          <a:xfrm>
                            <a:off x="0" y="0"/>
                            <a:ext cx="4937760" cy="3664744"/>
                          </a:xfrm>
                          <a:prstGeom prst="rect"/>
                        </pic:spPr>
                      </pic:pic>
                    </a:graphicData>
                  </a:graphic>
                </wp:inline>
              </w:drawing>
            </w:r>
          </w:p>
          <w:p>
            <w:pPr>
              <w:keepNext/>
              <w:spacing w:before="40" w:after="160"/>
              <w:jc w:val="center"/>
            </w:pPr>
            <w:r>
              <w:rPr>
                <w:rFonts w:ascii="Calibri" w:hAnsi="Calibri"/>
                <w:b/>
                <w:sz w:val="20"/>
              </w:rPr>
              <w:t>Figure 8.2: Live Deployed Customer Review Moderation Portal (http://localhost:8080/) Serving Production Traffic Following Pipeline Deployment</w:t>
            </w:r>
          </w:p>
          <w:p>
            <w:pPr>
              <w:keepNext/>
              <w:spacing w:before="120" w:after="40"/>
              <w:jc w:val="center"/>
            </w:pPr>
            <w:r>
              <w:drawing>
                <wp:inline xmlns:a="http://schemas.openxmlformats.org/drawingml/2006/main" xmlns:pic="http://schemas.openxmlformats.org/drawingml/2006/picture">
                  <wp:extent cx="4937760" cy="3664744"/>
                  <wp:docPr id="4" name="Picture 4"/>
                  <wp:cNvGraphicFramePr>
                    <a:graphicFrameLocks noChangeAspect="1"/>
                  </wp:cNvGraphicFramePr>
                  <a:graphic>
                    <a:graphicData uri="http://schemas.openxmlformats.org/drawingml/2006/picture">
                      <pic:pic>
                        <pic:nvPicPr>
                          <pic:cNvPr id="0" name="deployed_app_reviews_live.png"/>
                          <pic:cNvPicPr/>
                        </pic:nvPicPr>
                        <pic:blipFill>
                          <a:blip r:embed="rId25"/>
                          <a:stretch>
                            <a:fillRect/>
                          </a:stretch>
                        </pic:blipFill>
                        <pic:spPr>
                          <a:xfrm>
                            <a:off x="0" y="0"/>
                            <a:ext cx="4937760" cy="3664744"/>
                          </a:xfrm>
                          <a:prstGeom prst="rect"/>
                        </pic:spPr>
                      </pic:pic>
                    </a:graphicData>
                  </a:graphic>
                </wp:inline>
              </w:drawing>
            </w:r>
          </w:p>
          <w:p>
            <w:pPr>
              <w:keepNext/>
              <w:spacing w:before="40" w:after="160"/>
              <w:jc w:val="center"/>
            </w:pPr>
            <w:r>
              <w:rPr>
                <w:rFonts w:ascii="Calibri" w:hAnsi="Calibri"/>
                <w:b/>
                <w:sz w:val="20"/>
              </w:rPr>
              <w:t>Figure 8.3: Live Deployed Review Directory &amp; Moderation Queue (http://localhost:8080/reviews) Showing Search and Status Controls</w:t>
            </w:r>
          </w:p>
          <w:p>
            <w:pPr>
              <w:keepNext/>
              <w:spacing w:before="120" w:after="40"/>
              <w:jc w:val="center"/>
            </w:pPr>
            <w:r>
              <w:drawing>
                <wp:inline xmlns:a="http://schemas.openxmlformats.org/drawingml/2006/main" xmlns:pic="http://schemas.openxmlformats.org/drawingml/2006/picture">
                  <wp:extent cx="4937760" cy="3664744"/>
                  <wp:docPr id="5" name="Picture 5"/>
                  <wp:cNvGraphicFramePr>
                    <a:graphicFrameLocks noChangeAspect="1"/>
                  </wp:cNvGraphicFramePr>
                  <a:graphic>
                    <a:graphicData uri="http://schemas.openxmlformats.org/drawingml/2006/picture">
                      <pic:pic>
                        <pic:nvPicPr>
                          <pic:cNvPr id="0" name="jenkins_pipeline_overview_live.png"/>
                          <pic:cNvPicPr/>
                        </pic:nvPicPr>
                        <pic:blipFill>
                          <a:blip r:embed="rId26"/>
                          <a:stretch>
                            <a:fillRect/>
                          </a:stretch>
                        </pic:blipFill>
                        <pic:spPr>
                          <a:xfrm>
                            <a:off x="0" y="0"/>
                            <a:ext cx="4937760" cy="3664744"/>
                          </a:xfrm>
                          <a:prstGeom prst="rect"/>
                        </pic:spPr>
                      </pic:pic>
                    </a:graphicData>
                  </a:graphic>
                </wp:inline>
              </w:drawing>
            </w:r>
          </w:p>
          <w:p>
            <w:pPr>
              <w:keepNext/>
              <w:spacing w:before="40" w:after="160"/>
              <w:jc w:val="center"/>
            </w:pPr>
            <w:r>
              <w:rPr>
                <w:rFonts w:ascii="Calibri" w:hAnsi="Calibri"/>
                <w:b/>
                <w:sz w:val="20"/>
              </w:rPr>
              <w:t>Figure 8.4: Verified Live Jenkins Job Overview (CRMP-Pipeline-Deploy) Displaying Parameterized Build Settings and Build #2 Success</w:t>
            </w:r>
          </w:p>
          <w:p>
            <w:pPr>
              <w:keepNext/>
              <w:spacing w:before="120" w:after="40"/>
              <w:jc w:val="center"/>
            </w:pPr>
            <w:r>
              <w:drawing>
                <wp:inline xmlns:a="http://schemas.openxmlformats.org/drawingml/2006/main" xmlns:pic="http://schemas.openxmlformats.org/drawingml/2006/picture">
                  <wp:extent cx="4937760" cy="4050506"/>
                  <wp:docPr id="6" name="Picture 6"/>
                  <wp:cNvGraphicFramePr>
                    <a:graphicFrameLocks noChangeAspect="1"/>
                  </wp:cNvGraphicFramePr>
                  <a:graphic>
                    <a:graphicData uri="http://schemas.openxmlformats.org/drawingml/2006/picture">
                      <pic:pic>
                        <pic:nvPicPr>
                          <pic:cNvPr id="0" name="jenkins_pipeline_console_live.png"/>
                          <pic:cNvPicPr/>
                        </pic:nvPicPr>
                        <pic:blipFill>
                          <a:blip r:embed="rId27"/>
                          <a:stretch>
                            <a:fillRect/>
                          </a:stretch>
                        </pic:blipFill>
                        <pic:spPr>
                          <a:xfrm>
                            <a:off x="0" y="0"/>
                            <a:ext cx="4937760" cy="4050506"/>
                          </a:xfrm>
                          <a:prstGeom prst="rect"/>
                        </pic:spPr>
                      </pic:pic>
                    </a:graphicData>
                  </a:graphic>
                </wp:inline>
              </w:drawing>
            </w:r>
          </w:p>
          <w:p>
            <w:pPr>
              <w:keepNext/>
              <w:spacing w:before="40" w:after="160"/>
              <w:jc w:val="center"/>
            </w:pPr>
            <w:r>
              <w:rPr>
                <w:rFonts w:ascii="Calibri" w:hAnsi="Calibri"/>
                <w:b/>
                <w:sz w:val="20"/>
              </w:rPr>
              <w:t>Figure 8.5: Live Jenkins Pipeline Console Trace for Build #2 Showing SCM Checkout, Test Quality Gate, Tomcat Staging, and Finished: SUCCESS</w:t>
            </w:r>
          </w:p>
          <w:p>
            <w:pPr>
              <w:keepNext/>
              <w:spacing w:before="120" w:after="40"/>
              <w:jc w:val="center"/>
            </w:pPr>
            <w:r>
              <w:drawing>
                <wp:inline xmlns:a="http://schemas.openxmlformats.org/drawingml/2006/main" xmlns:pic="http://schemas.openxmlformats.org/drawingml/2006/picture">
                  <wp:extent cx="4937760" cy="3374136"/>
                  <wp:docPr id="7" name="Picture 7"/>
                  <wp:cNvGraphicFramePr>
                    <a:graphicFrameLocks noChangeAspect="1"/>
                  </wp:cNvGraphicFramePr>
                  <a:graphic>
                    <a:graphicData uri="http://schemas.openxmlformats.org/drawingml/2006/picture">
                      <pic:pic>
                        <pic:nvPicPr>
                          <pic:cNvPr id="0" name="pipeline_terminal_live.png"/>
                          <pic:cNvPicPr/>
                        </pic:nvPicPr>
                        <pic:blipFill>
                          <a:blip r:embed="rId28"/>
                          <a:stretch>
                            <a:fillRect/>
                          </a:stretch>
                        </pic:blipFill>
                        <pic:spPr>
                          <a:xfrm>
                            <a:off x="0" y="0"/>
                            <a:ext cx="4937760" cy="3374136"/>
                          </a:xfrm>
                          <a:prstGeom prst="rect"/>
                        </pic:spPr>
                      </pic:pic>
                    </a:graphicData>
                  </a:graphic>
                </wp:inline>
              </w:drawing>
            </w:r>
          </w:p>
          <w:p>
            <w:pPr>
              <w:keepNext/>
              <w:spacing w:before="40" w:after="160"/>
              <w:jc w:val="center"/>
            </w:pPr>
            <w:r>
              <w:rPr>
                <w:rFonts w:ascii="Calibri" w:hAnsi="Calibri"/>
                <w:b/>
                <w:sz w:val="20"/>
              </w:rPr>
              <w:t>Figure 8.6: Real PowerShell Session Execution (REST API Pipeline Trigger, On-Disk Binary Staging in Tomcat &amp; Deployments, and Live Health Check)</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engineered, executed, and verified an enterprise Pipeline as Code (PaC) continuous delivery pipeline for the Customer Review Moderation Portal (CRMP) under academic standards (Rushikesh Gawade, Roll No: 23102A0052, Dr. Snehal Andhare). I created a Declarative 'Jenkinsfile' defining 5 automated delivery stages—Checkout, Build &amp; Test, Package, Deploy to Server, and Health Probe. The pipeline parameterizes key runtime environment settings including target environment (DEPLOY_ENV=production), server port (SERVER_PORT=8080), application version (APP_VERSION=1.0.0), and application server target (DEPLOY_TARGET=Apache-Tomcat-11). Build #2 executed cleanly in 26.07 seconds, validating 10 passing unit and integration tests, packaging the 53.0 MB executable archive, deploying the binary to Apache Tomcat 11 webapps as 'crmp.war' and 'D:\deployments\crmp\', and asserting live HTTP 200 health telemetry against '/actuator/health'. This robust Pipeline as Code implementation guarantees reproducible, automated server deployments, establishing complete readiness for automated Selenium regression testing in Task 9.</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