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Rushikesh Gawade</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23102A0052</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 xml:space="preserve">Grade and Subject </w:t>
              <w:br/>
              <w:t>Teacher's Signature</w:t>
            </w:r>
          </w:p>
        </w:tc>
        <w:tc>
          <w:tcPr>
            <w:tcW w:w="6465" w:type="dxa"/>
            <w:tcBorders>
              <w:top w:val="single" w:sz="6" w:space="0" w:color="000000"/>
              <w:left w:val="single" w:sz="6" w:space="0" w:color="000000"/>
              <w:bottom w:val="single" w:sz="6" w:space="0" w:color="000000"/>
              <w:right w:val="single" w:sz="6" w:space="0" w:color="000000"/>
            </w:tcBorders>
          </w:tcPr>
          <w:p>
            <w: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12</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Jenkins-Docker Continuous Deployment: Extend the Customer Review Moderation Portal Jenkins pipeline to build a versioned Docker image, publish it to Docker Hub or a local registry and deploy a fresh container automatically after successful tests.</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PC (x86_64 architecture), 16 GB Physical RAM, 512 GB NVMe SSD, Multi-core Processor (Intel Core i5/i7 / AMD Ryzen)</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Microsoft Windows 11 Enterprise (64-bit), Jenkins v2.580.1 LTS, Docker Engine v26.1.4, Docker Registry v2 / Docker Hub, Eclipse Temurin 21 JRE Alpine, Apache Maven 3.9.6, Selenium WebDriver 4.25.0, Git 2.51.windows.1, GitHub Cloud, PowerShell 7.4</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4"/>
              </w:rPr>
              <w:t>1. Continuous Deployment Rationale &amp; Jenkins-Docker Integration</w:t>
            </w:r>
          </w:p>
          <w:p>
            <w:pPr>
              <w:spacing w:before="20" w:after="60" w:line="276" w:lineRule="auto"/>
            </w:pPr>
            <w:r>
              <w:rPr>
                <w:rFonts w:ascii="Calibri" w:hAnsi="Calibri"/>
                <w:sz w:val="22"/>
              </w:rPr>
              <w:t>Continuous Deployment (CD) represents the apex of modern automated software delivery. While Continuous Integration (CI) guarantees that new code changes integrate cleanly and pass automated unit/regression tests, Continuous Deployment automates the entire progression from a validated Git commit directly into a running, production-ready containerized service without requiring manual human intervention. For mission-critical systems like the Customer Review Moderation Portal (CRMP), manual deployments present substantial risks: human operators can introduce environment inconsistencies, forget to unmap old network ports, fail to tag immutable release versions, or leave orphaned containers running on host infrastructure.</w:t>
            </w:r>
          </w:p>
          <w:p>
            <w:pPr>
              <w:spacing w:before="20" w:after="60" w:line="276" w:lineRule="auto"/>
            </w:pPr>
            <w:r>
              <w:rPr>
                <w:rFonts w:ascii="Calibri" w:hAnsi="Calibri"/>
                <w:sz w:val="22"/>
              </w:rPr>
              <w:t>Integrating Jenkins with Docker establishes a robust, deterministic Continuous Deployment pipeline that overcomes these challenges by enforcing six foundational DevOps principles:</w:t>
            </w:r>
          </w:p>
          <w:p>
            <w:pPr>
              <w:spacing w:before="20" w:after="60" w:line="276" w:lineRule="auto"/>
            </w:pPr>
            <w:r>
              <w:rPr>
                <w:rFonts w:ascii="Calibri" w:hAnsi="Calibri"/>
                <w:b/>
                <w:sz w:val="22"/>
              </w:rPr>
              <w:t>a) Immutable Infrastructure &amp; Traceability:</w:t>
            </w:r>
            <w:r>
              <w:rPr>
                <w:rFonts w:ascii="Calibri" w:hAnsi="Calibri"/>
                <w:sz w:val="22"/>
              </w:rPr>
              <w:t xml:space="preserve"> The application is packaged into an immutable Docker image tagged with the unique Jenkins build number (crmp:${BUILD_NUMBER}) and semantic version (crmp:1.0.0). Once compiled, this identical binary image progresses through staging and production without recompilation.</w:t>
            </w:r>
          </w:p>
          <w:p>
            <w:pPr>
              <w:spacing w:before="20" w:after="60" w:line="276" w:lineRule="auto"/>
            </w:pPr>
            <w:r>
              <w:rPr>
                <w:rFonts w:ascii="Calibri" w:hAnsi="Calibri"/>
                <w:b/>
                <w:sz w:val="22"/>
              </w:rPr>
              <w:t>b) Zero-Defect Quality Gating:</w:t>
            </w:r>
            <w:r>
              <w:rPr>
                <w:rFonts w:ascii="Calibri" w:hAnsi="Calibri"/>
                <w:sz w:val="22"/>
              </w:rPr>
              <w:t xml:space="preserve"> Packaging and Docker deployment stages are strictly gated behind the automated Selenium WebDriver and JUnit 5 test suite (15 tests). If any test fails, Jenkins terminates immediately, completely preventing defective code from reaching Docker build or container rollout.</w:t>
            </w:r>
          </w:p>
          <w:p>
            <w:pPr>
              <w:spacing w:before="20" w:after="60" w:line="276" w:lineRule="auto"/>
            </w:pPr>
            <w:r>
              <w:rPr>
                <w:rFonts w:ascii="Calibri" w:hAnsi="Calibri"/>
                <w:b/>
                <w:sz w:val="22"/>
              </w:rPr>
              <w:t>c) Centralized Registry Distribution:</w:t>
            </w:r>
            <w:r>
              <w:rPr>
                <w:rFonts w:ascii="Calibri" w:hAnsi="Calibri"/>
                <w:sz w:val="22"/>
              </w:rPr>
              <w:t xml:space="preserve"> Compiled container images are pushed to secure container registries (Docker Hub and local registry localhost:5000) with cryptographic SHA256 digests, ensuring provenance, auditing, and multi-node cluster distribution.</w:t>
            </w:r>
          </w:p>
          <w:p>
            <w:pPr>
              <w:spacing w:before="20" w:after="60" w:line="276" w:lineRule="auto"/>
            </w:pPr>
            <w:r>
              <w:rPr>
                <w:rFonts w:ascii="Calibri" w:hAnsi="Calibri"/>
                <w:b/>
                <w:sz w:val="22"/>
              </w:rPr>
              <w:t>d) Automated Fresh Container Rollout:</w:t>
            </w:r>
            <w:r>
              <w:rPr>
                <w:rFonts w:ascii="Calibri" w:hAnsi="Calibri"/>
                <w:sz w:val="22"/>
              </w:rPr>
              <w:t xml:space="preserve"> Rather than patching a running system in-place, the pipeline gracefully terminates the prior container (docker stop crmp-app), removes its temporary writable layer (docker rm crmp-app), and boots a pristine fresh container from the newly built image tag, preventing configuration drift.</w:t>
            </w:r>
          </w:p>
          <w:p>
            <w:pPr>
              <w:spacing w:before="20" w:after="60" w:line="276" w:lineRule="auto"/>
            </w:pPr>
            <w:r>
              <w:rPr>
                <w:rFonts w:ascii="Calibri" w:hAnsi="Calibri"/>
                <w:b/>
                <w:sz w:val="22"/>
              </w:rPr>
              <w:t>e) Automated Health Gating:</w:t>
            </w:r>
            <w:r>
              <w:rPr>
                <w:rFonts w:ascii="Calibri" w:hAnsi="Calibri"/>
                <w:sz w:val="22"/>
              </w:rPr>
              <w:t xml:space="preserve"> Following container instantiation, the pipeline executes an automated HTTP probe against the Spring Boot Actuator endpoint (http://localhost:8080/actuator/health). If the probe fails to receive HTTP 200 UP within the timeout threshold, the build is marked as FAILED.</w:t>
            </w:r>
          </w:p>
          <w:p>
            <w:pPr>
              <w:spacing w:before="20" w:after="60" w:line="276" w:lineRule="auto"/>
            </w:pPr>
            <w:r>
              <w:rPr>
                <w:rFonts w:ascii="Calibri" w:hAnsi="Calibri"/>
                <w:b/>
                <w:sz w:val="22"/>
              </w:rPr>
              <w:t>f) Parameterized Execution Control:</w:t>
            </w:r>
            <w:r>
              <w:rPr>
                <w:rFonts w:ascii="Calibri" w:hAnsi="Calibri"/>
                <w:sz w:val="22"/>
              </w:rPr>
              <w:t xml:space="preserve"> Parameters allow operations teams to select target environments (production, staging, dev), host forwarding ports (8080), and registry destinations dynamically from the Jenkins GUI.</w:t>
            </w:r>
          </w:p>
          <w:p>
            <w:pPr>
              <w:keepNext/>
              <w:spacing w:before="160" w:after="60" w:line="276" w:lineRule="auto"/>
            </w:pPr>
            <w:r>
              <w:rPr>
                <w:rFonts w:ascii="Calibri" w:hAnsi="Calibri"/>
                <w:b/>
                <w:sz w:val="24"/>
              </w:rPr>
              <w:t>2. End-to-End Pipeline Architecture &amp; 7-Stage Workflow</w:t>
            </w:r>
          </w:p>
          <w:p>
            <w:pPr>
              <w:spacing w:before="20" w:after="60" w:line="276" w:lineRule="auto"/>
            </w:pPr>
            <w:r>
              <w:rPr>
                <w:rFonts w:ascii="Calibri" w:hAnsi="Calibri"/>
                <w:sz w:val="22"/>
              </w:rPr>
              <w:t>The continuous deployment architecture orchestrates a fully automated 7-stage workflow spanning source code retrieval, testing, compilation, containerization, registry distribution, container refresh, and live telemetry validation:</w:t>
            </w:r>
          </w:p>
          <w:p>
            <w:pPr>
              <w:keepNext/>
              <w:spacing w:before="120" w:after="40"/>
              <w:jc w:val="center"/>
            </w:pPr>
            <w:r>
              <w:drawing>
                <wp:inline xmlns:a="http://schemas.openxmlformats.org/drawingml/2006/main" xmlns:pic="http://schemas.openxmlformats.org/drawingml/2006/picture">
                  <wp:extent cx="5120640" cy="3189171"/>
                  <wp:docPr id="2" name="Picture 2"/>
                  <wp:cNvGraphicFramePr>
                    <a:graphicFrameLocks noChangeAspect="1"/>
                  </wp:cNvGraphicFramePr>
                  <a:graphic>
                    <a:graphicData uri="http://schemas.openxmlformats.org/drawingml/2006/picture">
                      <pic:pic>
                        <pic:nvPicPr>
                          <pic:cNvPr id="0" name="figure_12_1_jenkins_docker_cd_architecture.png"/>
                          <pic:cNvPicPr/>
                        </pic:nvPicPr>
                        <pic:blipFill>
                          <a:blip r:embed="rId23"/>
                          <a:stretch>
                            <a:fillRect/>
                          </a:stretch>
                        </pic:blipFill>
                        <pic:spPr>
                          <a:xfrm>
                            <a:off x="0" y="0"/>
                            <a:ext cx="5120640" cy="3189171"/>
                          </a:xfrm>
                          <a:prstGeom prst="rect"/>
                        </pic:spPr>
                      </pic:pic>
                    </a:graphicData>
                  </a:graphic>
                </wp:inline>
              </w:drawing>
            </w:r>
          </w:p>
          <w:p>
            <w:pPr>
              <w:keepNext/>
              <w:spacing w:before="40" w:after="160"/>
              <w:jc w:val="center"/>
            </w:pPr>
            <w:r>
              <w:rPr>
                <w:rFonts w:ascii="Calibri" w:hAnsi="Calibri"/>
                <w:b/>
                <w:sz w:val="20"/>
              </w:rPr>
              <w:t>Figure 12.1: End-to-End Jenkins-Docker Continuous Deployment Pipeline Architecture &amp; 7-Stage Workflow</w:t>
            </w:r>
          </w:p>
          <w:p>
            <w:pPr>
              <w:spacing w:before="20" w:after="60" w:line="276" w:lineRule="auto"/>
            </w:pPr>
            <w:r>
              <w:rPr>
                <w:rFonts w:ascii="Calibri" w:hAnsi="Calibri"/>
                <w:sz w:val="22"/>
              </w:rPr>
              <w:t>The operational responsibilities and gate conditions for each of the 7 stages are formally structured in the table below:</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900" w:type="dxa"/>
                  <w:shd w:fill="EAECEE"/>
                </w:tcPr>
                <w:p>
                  <w:pPr>
                    <w:spacing w:before="40" w:after="40" w:line="276" w:lineRule="auto"/>
                    <w:jc w:val="center"/>
                  </w:pPr>
                  <w:r>
                    <w:rPr>
                      <w:rFonts w:ascii="Calibri" w:hAnsi="Calibri"/>
                      <w:b/>
                      <w:sz w:val="18"/>
                    </w:rPr>
                    <w:t>Stage</w:t>
                  </w:r>
                </w:p>
              </w:tc>
              <w:tc>
                <w:tcPr>
                  <w:tcW w:w="1500" w:type="dxa"/>
                  <w:shd w:fill="EAECEE"/>
                </w:tcPr>
                <w:p>
                  <w:pPr>
                    <w:spacing w:before="40" w:after="40" w:line="276" w:lineRule="auto"/>
                    <w:jc w:val="center"/>
                  </w:pPr>
                  <w:r>
                    <w:rPr>
                      <w:rFonts w:ascii="Calibri" w:hAnsi="Calibri"/>
                      <w:b/>
                      <w:sz w:val="18"/>
                    </w:rPr>
                    <w:t>Stage Name</w:t>
                  </w:r>
                </w:p>
              </w:tc>
              <w:tc>
                <w:tcPr>
                  <w:tcW w:w="1900" w:type="dxa"/>
                  <w:shd w:fill="EAECEE"/>
                </w:tcPr>
                <w:p>
                  <w:pPr>
                    <w:spacing w:before="40" w:after="40" w:line="276" w:lineRule="auto"/>
                    <w:jc w:val="center"/>
                  </w:pPr>
                  <w:r>
                    <w:rPr>
                      <w:rFonts w:ascii="Calibri" w:hAnsi="Calibri"/>
                      <w:b/>
                      <w:sz w:val="18"/>
                    </w:rPr>
                    <w:t>Automated Tooling &amp; Command</w:t>
                  </w:r>
                </w:p>
              </w:tc>
              <w:tc>
                <w:tcPr>
                  <w:tcW w:w="2100" w:type="dxa"/>
                  <w:shd w:fill="EAECEE"/>
                </w:tcPr>
                <w:p>
                  <w:pPr>
                    <w:spacing w:before="40" w:after="40" w:line="276" w:lineRule="auto"/>
                    <w:jc w:val="center"/>
                  </w:pPr>
                  <w:r>
                    <w:rPr>
                      <w:rFonts w:ascii="Calibri" w:hAnsi="Calibri"/>
                      <w:b/>
                      <w:sz w:val="18"/>
                    </w:rPr>
                    <w:t>Primary Action &amp; Output</w:t>
                  </w:r>
                </w:p>
              </w:tc>
              <w:tc>
                <w:tcPr>
                  <w:tcW w:w="1500" w:type="dxa"/>
                  <w:shd w:fill="EAECEE"/>
                </w:tcPr>
                <w:p>
                  <w:pPr>
                    <w:spacing w:before="40" w:after="40" w:line="276" w:lineRule="auto"/>
                    <w:jc w:val="center"/>
                  </w:pPr>
                  <w:r>
                    <w:rPr>
                      <w:rFonts w:ascii="Calibri" w:hAnsi="Calibri"/>
                      <w:b/>
                      <w:sz w:val="18"/>
                    </w:rPr>
                    <w:t>Gate Criteria</w:t>
                  </w:r>
                </w:p>
              </w:tc>
            </w:tr>
            <w:tr>
              <w:trPr>
                <w:cantSplit/>
              </w:trPr>
              <w:tc>
                <w:tcPr>
                  <w:tcW w:w="900" w:type="dxa"/>
                </w:tcPr>
                <w:p>
                  <w:pPr>
                    <w:spacing w:before="40" w:after="40" w:line="276" w:lineRule="auto"/>
                    <w:jc w:val="center"/>
                  </w:pPr>
                  <w:r>
                    <w:rPr>
                      <w:rFonts w:ascii="Calibri" w:hAnsi="Calibri"/>
                      <w:b/>
                      <w:sz w:val="17"/>
                    </w:rPr>
                    <w:t>1</w:t>
                  </w:r>
                </w:p>
              </w:tc>
              <w:tc>
                <w:tcPr>
                  <w:tcW w:w="1500" w:type="dxa"/>
                </w:tcPr>
                <w:p>
                  <w:pPr>
                    <w:spacing w:before="40" w:after="40" w:line="276" w:lineRule="auto"/>
                    <w:jc w:val="left"/>
                  </w:pPr>
                  <w:r>
                    <w:rPr>
                      <w:rFonts w:ascii="Calibri" w:hAnsi="Calibri"/>
                      <w:b w:val="0"/>
                      <w:sz w:val="17"/>
                    </w:rPr>
                    <w:t>SCM Checkout</w:t>
                  </w:r>
                </w:p>
              </w:tc>
              <w:tc>
                <w:tcPr>
                  <w:tcW w:w="1900" w:type="dxa"/>
                </w:tcPr>
                <w:p>
                  <w:pPr>
                    <w:spacing w:before="40" w:after="40" w:line="276" w:lineRule="auto"/>
                    <w:jc w:val="left"/>
                  </w:pPr>
                  <w:r>
                    <w:rPr>
                      <w:rFonts w:ascii="Calibri" w:hAnsi="Calibri"/>
                      <w:b w:val="0"/>
                      <w:sz w:val="17"/>
                    </w:rPr>
                    <w:t>checkout scm</w:t>
                    <w:br/>
                    <w:t>git log -1 --oneline</w:t>
                  </w:r>
                </w:p>
              </w:tc>
              <w:tc>
                <w:tcPr>
                  <w:tcW w:w="2100" w:type="dxa"/>
                </w:tcPr>
                <w:p>
                  <w:pPr>
                    <w:spacing w:before="40" w:after="40" w:line="276" w:lineRule="auto"/>
                    <w:jc w:val="left"/>
                  </w:pPr>
                  <w:r>
                    <w:rPr>
                      <w:rFonts w:ascii="Calibri" w:hAnsi="Calibri"/>
                      <w:b w:val="0"/>
                      <w:sz w:val="17"/>
                    </w:rPr>
                    <w:t>Synchronizes dev branch from GitHub Cloud, logs commit SHA 1860cb2</w:t>
                  </w:r>
                </w:p>
              </w:tc>
              <w:tc>
                <w:tcPr>
                  <w:tcW w:w="1500" w:type="dxa"/>
                </w:tcPr>
                <w:p>
                  <w:pPr>
                    <w:spacing w:before="40" w:after="40" w:line="276" w:lineRule="auto"/>
                    <w:jc w:val="center"/>
                  </w:pPr>
                  <w:r>
                    <w:rPr>
                      <w:rFonts w:ascii="Calibri" w:hAnsi="Calibri"/>
                      <w:b w:val="0"/>
                      <w:sz w:val="17"/>
                    </w:rPr>
                    <w:t>Clean workspace, valid Git SHA</w:t>
                  </w:r>
                </w:p>
              </w:tc>
            </w:tr>
            <w:tr>
              <w:trPr>
                <w:cantSplit/>
              </w:trPr>
              <w:tc>
                <w:tcPr>
                  <w:tcW w:w="900" w:type="dxa"/>
                </w:tcPr>
                <w:p>
                  <w:pPr>
                    <w:spacing w:before="40" w:after="40" w:line="276" w:lineRule="auto"/>
                    <w:jc w:val="center"/>
                  </w:pPr>
                  <w:r>
                    <w:rPr>
                      <w:rFonts w:ascii="Calibri" w:hAnsi="Calibri"/>
                      <w:b/>
                      <w:sz w:val="17"/>
                    </w:rPr>
                    <w:t>2</w:t>
                  </w:r>
                </w:p>
              </w:tc>
              <w:tc>
                <w:tcPr>
                  <w:tcW w:w="1500" w:type="dxa"/>
                </w:tcPr>
                <w:p>
                  <w:pPr>
                    <w:spacing w:before="40" w:after="40" w:line="276" w:lineRule="auto"/>
                    <w:jc w:val="left"/>
                  </w:pPr>
                  <w:r>
                    <w:rPr>
                      <w:rFonts w:ascii="Calibri" w:hAnsi="Calibri"/>
                      <w:b w:val="0"/>
                      <w:sz w:val="17"/>
                    </w:rPr>
                    <w:t>Quality Gate</w:t>
                  </w:r>
                </w:p>
              </w:tc>
              <w:tc>
                <w:tcPr>
                  <w:tcW w:w="1900" w:type="dxa"/>
                </w:tcPr>
                <w:p>
                  <w:pPr>
                    <w:spacing w:before="40" w:after="40" w:line="276" w:lineRule="auto"/>
                    <w:jc w:val="left"/>
                  </w:pPr>
                  <w:r>
                    <w:rPr>
                      <w:rFonts w:ascii="Calibri" w:hAnsi="Calibri"/>
                      <w:b w:val="0"/>
                      <w:sz w:val="17"/>
                    </w:rPr>
                    <w:t>mvn clean test</w:t>
                  </w:r>
                </w:p>
              </w:tc>
              <w:tc>
                <w:tcPr>
                  <w:tcW w:w="2100" w:type="dxa"/>
                </w:tcPr>
                <w:p>
                  <w:pPr>
                    <w:spacing w:before="40" w:after="40" w:line="276" w:lineRule="auto"/>
                    <w:jc w:val="left"/>
                  </w:pPr>
                  <w:r>
                    <w:rPr>
                      <w:rFonts w:ascii="Calibri" w:hAnsi="Calibri"/>
                      <w:b w:val="0"/>
                      <w:sz w:val="17"/>
                    </w:rPr>
                    <w:t>Runs 15 automated tests (7 MockMvc, 3 Spam logic, 5 Selenium journeys)</w:t>
                  </w:r>
                </w:p>
              </w:tc>
              <w:tc>
                <w:tcPr>
                  <w:tcW w:w="1500" w:type="dxa"/>
                </w:tcPr>
                <w:p>
                  <w:pPr>
                    <w:spacing w:before="40" w:after="40" w:line="276" w:lineRule="auto"/>
                    <w:jc w:val="center"/>
                  </w:pPr>
                  <w:r>
                    <w:rPr>
                      <w:rFonts w:ascii="Calibri" w:hAnsi="Calibri"/>
                      <w:b w:val="0"/>
                      <w:sz w:val="17"/>
                    </w:rPr>
                    <w:t>15/15 Tests Pass (0 Failures)</w:t>
                  </w:r>
                </w:p>
              </w:tc>
            </w:tr>
            <w:tr>
              <w:trPr>
                <w:cantSplit/>
              </w:trPr>
              <w:tc>
                <w:tcPr>
                  <w:tcW w:w="900" w:type="dxa"/>
                </w:tcPr>
                <w:p>
                  <w:pPr>
                    <w:spacing w:before="40" w:after="40" w:line="276" w:lineRule="auto"/>
                    <w:jc w:val="center"/>
                  </w:pPr>
                  <w:r>
                    <w:rPr>
                      <w:rFonts w:ascii="Calibri" w:hAnsi="Calibri"/>
                      <w:b/>
                      <w:sz w:val="17"/>
                    </w:rPr>
                    <w:t>3</w:t>
                  </w:r>
                </w:p>
              </w:tc>
              <w:tc>
                <w:tcPr>
                  <w:tcW w:w="1500" w:type="dxa"/>
                </w:tcPr>
                <w:p>
                  <w:pPr>
                    <w:spacing w:before="40" w:after="40" w:line="276" w:lineRule="auto"/>
                    <w:jc w:val="left"/>
                  </w:pPr>
                  <w:r>
                    <w:rPr>
                      <w:rFonts w:ascii="Calibri" w:hAnsi="Calibri"/>
                      <w:b w:val="0"/>
                      <w:sz w:val="17"/>
                    </w:rPr>
                    <w:t>Package</w:t>
                  </w:r>
                </w:p>
              </w:tc>
              <w:tc>
                <w:tcPr>
                  <w:tcW w:w="1900" w:type="dxa"/>
                </w:tcPr>
                <w:p>
                  <w:pPr>
                    <w:spacing w:before="40" w:after="40" w:line="276" w:lineRule="auto"/>
                    <w:jc w:val="left"/>
                  </w:pPr>
                  <w:r>
                    <w:rPr>
                      <w:rFonts w:ascii="Calibri" w:hAnsi="Calibri"/>
                      <w:b w:val="0"/>
                      <w:sz w:val="17"/>
                    </w:rPr>
                    <w:t>mvn package -DskipTests=true</w:t>
                  </w:r>
                </w:p>
              </w:tc>
              <w:tc>
                <w:tcPr>
                  <w:tcW w:w="2100" w:type="dxa"/>
                </w:tcPr>
                <w:p>
                  <w:pPr>
                    <w:spacing w:before="40" w:after="40" w:line="276" w:lineRule="auto"/>
                    <w:jc w:val="left"/>
                  </w:pPr>
                  <w:r>
                    <w:rPr>
                      <w:rFonts w:ascii="Calibri" w:hAnsi="Calibri"/>
                      <w:b w:val="0"/>
                      <w:sz w:val="17"/>
                    </w:rPr>
                    <w:t>Compiles 53.4 MB Spring Boot executable fat JAR archive in target/</w:t>
                  </w:r>
                </w:p>
              </w:tc>
              <w:tc>
                <w:tcPr>
                  <w:tcW w:w="1500" w:type="dxa"/>
                </w:tcPr>
                <w:p>
                  <w:pPr>
                    <w:spacing w:before="40" w:after="40" w:line="276" w:lineRule="auto"/>
                    <w:jc w:val="center"/>
                  </w:pPr>
                  <w:r>
                    <w:rPr>
                      <w:rFonts w:ascii="Calibri" w:hAnsi="Calibri"/>
                      <w:b w:val="0"/>
                      <w:sz w:val="17"/>
                    </w:rPr>
                    <w:t>Executable JAR artifact verified</w:t>
                  </w:r>
                </w:p>
              </w:tc>
            </w:tr>
            <w:tr>
              <w:trPr>
                <w:cantSplit/>
              </w:trPr>
              <w:tc>
                <w:tcPr>
                  <w:tcW w:w="900" w:type="dxa"/>
                </w:tcPr>
                <w:p>
                  <w:pPr>
                    <w:spacing w:before="40" w:after="40" w:line="276" w:lineRule="auto"/>
                    <w:jc w:val="center"/>
                  </w:pPr>
                  <w:r>
                    <w:rPr>
                      <w:rFonts w:ascii="Calibri" w:hAnsi="Calibri"/>
                      <w:b/>
                      <w:sz w:val="17"/>
                    </w:rPr>
                    <w:t>4</w:t>
                  </w:r>
                </w:p>
              </w:tc>
              <w:tc>
                <w:tcPr>
                  <w:tcW w:w="1500" w:type="dxa"/>
                </w:tcPr>
                <w:p>
                  <w:pPr>
                    <w:spacing w:before="40" w:after="40" w:line="276" w:lineRule="auto"/>
                    <w:jc w:val="left"/>
                  </w:pPr>
                  <w:r>
                    <w:rPr>
                      <w:rFonts w:ascii="Calibri" w:hAnsi="Calibri"/>
                      <w:b w:val="0"/>
                      <w:sz w:val="17"/>
                    </w:rPr>
                    <w:t>Docker Build</w:t>
                  </w:r>
                </w:p>
              </w:tc>
              <w:tc>
                <w:tcPr>
                  <w:tcW w:w="1900" w:type="dxa"/>
                </w:tcPr>
                <w:p>
                  <w:pPr>
                    <w:spacing w:before="40" w:after="40" w:line="276" w:lineRule="auto"/>
                    <w:jc w:val="left"/>
                  </w:pPr>
                  <w:r>
                    <w:rPr>
                      <w:rFonts w:ascii="Calibri" w:hAnsi="Calibri"/>
                      <w:b w:val="0"/>
                      <w:sz w:val="17"/>
                    </w:rPr>
                    <w:t>docker build -t crmp:${BUILD_NUM} .</w:t>
                  </w:r>
                </w:p>
              </w:tc>
              <w:tc>
                <w:tcPr>
                  <w:tcW w:w="2100" w:type="dxa"/>
                </w:tcPr>
                <w:p>
                  <w:pPr>
                    <w:spacing w:before="40" w:after="40" w:line="276" w:lineRule="auto"/>
                    <w:jc w:val="left"/>
                  </w:pPr>
                  <w:r>
                    <w:rPr>
                      <w:rFonts w:ascii="Calibri" w:hAnsi="Calibri"/>
                      <w:b w:val="0"/>
                      <w:sz w:val="17"/>
                    </w:rPr>
                    <w:t>Executes 13 multi-stage build steps; builds Alpine JRE 21 image (242.8 MB)</w:t>
                  </w:r>
                </w:p>
              </w:tc>
              <w:tc>
                <w:tcPr>
                  <w:tcW w:w="1500" w:type="dxa"/>
                </w:tcPr>
                <w:p>
                  <w:pPr>
                    <w:spacing w:before="40" w:after="40" w:line="276" w:lineRule="auto"/>
                    <w:jc w:val="center"/>
                  </w:pPr>
                  <w:r>
                    <w:rPr>
                      <w:rFonts w:ascii="Calibri" w:hAnsi="Calibri"/>
                      <w:b w:val="0"/>
                      <w:sz w:val="17"/>
                    </w:rPr>
                    <w:t>Image SHA256 successfully built</w:t>
                  </w:r>
                </w:p>
              </w:tc>
            </w:tr>
            <w:tr>
              <w:trPr>
                <w:cantSplit/>
              </w:trPr>
              <w:tc>
                <w:tcPr>
                  <w:tcW w:w="900" w:type="dxa"/>
                </w:tcPr>
                <w:p>
                  <w:pPr>
                    <w:spacing w:before="40" w:after="40" w:line="276" w:lineRule="auto"/>
                    <w:jc w:val="center"/>
                  </w:pPr>
                  <w:r>
                    <w:rPr>
                      <w:rFonts w:ascii="Calibri" w:hAnsi="Calibri"/>
                      <w:b/>
                      <w:sz w:val="17"/>
                    </w:rPr>
                    <w:t>5</w:t>
                  </w:r>
                </w:p>
              </w:tc>
              <w:tc>
                <w:tcPr>
                  <w:tcW w:w="1500" w:type="dxa"/>
                </w:tcPr>
                <w:p>
                  <w:pPr>
                    <w:spacing w:before="40" w:after="40" w:line="276" w:lineRule="auto"/>
                    <w:jc w:val="left"/>
                  </w:pPr>
                  <w:r>
                    <w:rPr>
                      <w:rFonts w:ascii="Calibri" w:hAnsi="Calibri"/>
                      <w:b w:val="0"/>
                      <w:sz w:val="17"/>
                    </w:rPr>
                    <w:t>Publish Reg</w:t>
                  </w:r>
                </w:p>
              </w:tc>
              <w:tc>
                <w:tcPr>
                  <w:tcW w:w="1900" w:type="dxa"/>
                </w:tcPr>
                <w:p>
                  <w:pPr>
                    <w:spacing w:before="40" w:after="40" w:line="276" w:lineRule="auto"/>
                    <w:jc w:val="left"/>
                  </w:pPr>
                  <w:r>
                    <w:rPr>
                      <w:rFonts w:ascii="Calibri" w:hAnsi="Calibri"/>
                      <w:b w:val="0"/>
                      <w:sz w:val="17"/>
                    </w:rPr>
                    <w:t>docker login &amp;&amp; docker push</w:t>
                  </w:r>
                </w:p>
              </w:tc>
              <w:tc>
                <w:tcPr>
                  <w:tcW w:w="2100" w:type="dxa"/>
                </w:tcPr>
                <w:p>
                  <w:pPr>
                    <w:spacing w:before="40" w:after="40" w:line="276" w:lineRule="auto"/>
                    <w:jc w:val="left"/>
                  </w:pPr>
                  <w:r>
                    <w:rPr>
                      <w:rFonts w:ascii="Calibri" w:hAnsi="Calibri"/>
                      <w:b w:val="0"/>
                      <w:sz w:val="17"/>
                    </w:rPr>
                    <w:t>Authenticates and pushes versioned image to Docker Hub and local registry</w:t>
                  </w:r>
                </w:p>
              </w:tc>
              <w:tc>
                <w:tcPr>
                  <w:tcW w:w="1500" w:type="dxa"/>
                </w:tcPr>
                <w:p>
                  <w:pPr>
                    <w:spacing w:before="40" w:after="40" w:line="276" w:lineRule="auto"/>
                    <w:jc w:val="center"/>
                  </w:pPr>
                  <w:r>
                    <w:rPr>
                      <w:rFonts w:ascii="Calibri" w:hAnsi="Calibri"/>
                      <w:b w:val="0"/>
                      <w:sz w:val="17"/>
                    </w:rPr>
                    <w:t>Registry digest sha256 confirmed</w:t>
                  </w:r>
                </w:p>
              </w:tc>
            </w:tr>
            <w:tr>
              <w:trPr>
                <w:cantSplit/>
              </w:trPr>
              <w:tc>
                <w:tcPr>
                  <w:tcW w:w="900" w:type="dxa"/>
                </w:tcPr>
                <w:p>
                  <w:pPr>
                    <w:spacing w:before="40" w:after="40" w:line="276" w:lineRule="auto"/>
                    <w:jc w:val="center"/>
                  </w:pPr>
                  <w:r>
                    <w:rPr>
                      <w:rFonts w:ascii="Calibri" w:hAnsi="Calibri"/>
                      <w:b/>
                      <w:sz w:val="17"/>
                    </w:rPr>
                    <w:t>6</w:t>
                  </w:r>
                </w:p>
              </w:tc>
              <w:tc>
                <w:tcPr>
                  <w:tcW w:w="1500" w:type="dxa"/>
                </w:tcPr>
                <w:p>
                  <w:pPr>
                    <w:spacing w:before="40" w:after="40" w:line="276" w:lineRule="auto"/>
                    <w:jc w:val="left"/>
                  </w:pPr>
                  <w:r>
                    <w:rPr>
                      <w:rFonts w:ascii="Calibri" w:hAnsi="Calibri"/>
                      <w:b w:val="0"/>
                      <w:sz w:val="17"/>
                    </w:rPr>
                    <w:t>Container Deploy</w:t>
                  </w:r>
                </w:p>
              </w:tc>
              <w:tc>
                <w:tcPr>
                  <w:tcW w:w="1900" w:type="dxa"/>
                </w:tcPr>
                <w:p>
                  <w:pPr>
                    <w:spacing w:before="40" w:after="40" w:line="276" w:lineRule="auto"/>
                    <w:jc w:val="left"/>
                  </w:pPr>
                  <w:r>
                    <w:rPr>
                      <w:rFonts w:ascii="Calibri" w:hAnsi="Calibri"/>
                      <w:b w:val="0"/>
                      <w:sz w:val="17"/>
                    </w:rPr>
                    <w:t>docker stop / rm / run -d</w:t>
                  </w:r>
                </w:p>
              </w:tc>
              <w:tc>
                <w:tcPr>
                  <w:tcW w:w="2100" w:type="dxa"/>
                </w:tcPr>
                <w:p>
                  <w:pPr>
                    <w:spacing w:before="40" w:after="40" w:line="276" w:lineRule="auto"/>
                    <w:jc w:val="left"/>
                  </w:pPr>
                  <w:r>
                    <w:rPr>
                      <w:rFonts w:ascii="Calibri" w:hAnsi="Calibri"/>
                      <w:b w:val="0"/>
                      <w:sz w:val="17"/>
                    </w:rPr>
                    <w:t>Gracefully stops stale container, launches fresh container crmp-app on 8080</w:t>
                  </w:r>
                </w:p>
              </w:tc>
              <w:tc>
                <w:tcPr>
                  <w:tcW w:w="1500" w:type="dxa"/>
                </w:tcPr>
                <w:p>
                  <w:pPr>
                    <w:spacing w:before="40" w:after="40" w:line="276" w:lineRule="auto"/>
                    <w:jc w:val="center"/>
                  </w:pPr>
                  <w:r>
                    <w:rPr>
                      <w:rFonts w:ascii="Calibri" w:hAnsi="Calibri"/>
                      <w:b w:val="0"/>
                      <w:sz w:val="17"/>
                    </w:rPr>
                    <w:t>CID spawned, status Up (healthy)</w:t>
                  </w:r>
                </w:p>
              </w:tc>
            </w:tr>
            <w:tr>
              <w:trPr>
                <w:cantSplit/>
              </w:trPr>
              <w:tc>
                <w:tcPr>
                  <w:tcW w:w="900" w:type="dxa"/>
                </w:tcPr>
                <w:p>
                  <w:pPr>
                    <w:spacing w:before="40" w:after="40" w:line="276" w:lineRule="auto"/>
                    <w:jc w:val="center"/>
                  </w:pPr>
                  <w:r>
                    <w:rPr>
                      <w:rFonts w:ascii="Calibri" w:hAnsi="Calibri"/>
                      <w:b/>
                      <w:sz w:val="17"/>
                    </w:rPr>
                    <w:t>7</w:t>
                  </w:r>
                </w:p>
              </w:tc>
              <w:tc>
                <w:tcPr>
                  <w:tcW w:w="1500" w:type="dxa"/>
                </w:tcPr>
                <w:p>
                  <w:pPr>
                    <w:spacing w:before="40" w:after="40" w:line="276" w:lineRule="auto"/>
                    <w:jc w:val="left"/>
                  </w:pPr>
                  <w:r>
                    <w:rPr>
                      <w:rFonts w:ascii="Calibri" w:hAnsi="Calibri"/>
                      <w:b w:val="0"/>
                      <w:sz w:val="17"/>
                    </w:rPr>
                    <w:t>Health Probe</w:t>
                  </w:r>
                </w:p>
              </w:tc>
              <w:tc>
                <w:tcPr>
                  <w:tcW w:w="1900" w:type="dxa"/>
                </w:tcPr>
                <w:p>
                  <w:pPr>
                    <w:spacing w:before="40" w:after="40" w:line="276" w:lineRule="auto"/>
                    <w:jc w:val="left"/>
                  </w:pPr>
                  <w:r>
                    <w:rPr>
                      <w:rFonts w:ascii="Calibri" w:hAnsi="Calibri"/>
                      <w:b w:val="0"/>
                      <w:sz w:val="17"/>
                    </w:rPr>
                    <w:t>curl /actuator/health</w:t>
                  </w:r>
                </w:p>
              </w:tc>
              <w:tc>
                <w:tcPr>
                  <w:tcW w:w="2100" w:type="dxa"/>
                </w:tcPr>
                <w:p>
                  <w:pPr>
                    <w:spacing w:before="40" w:after="40" w:line="276" w:lineRule="auto"/>
                    <w:jc w:val="left"/>
                  </w:pPr>
                  <w:r>
                    <w:rPr>
                      <w:rFonts w:ascii="Calibri" w:hAnsi="Calibri"/>
                      <w:b w:val="0"/>
                      <w:sz w:val="17"/>
                    </w:rPr>
                    <w:t>Probes Spring Boot Actuator endpoint until HTTP 200 UP is asserted</w:t>
                  </w:r>
                </w:p>
              </w:tc>
              <w:tc>
                <w:tcPr>
                  <w:tcW w:w="1500" w:type="dxa"/>
                </w:tcPr>
                <w:p>
                  <w:pPr>
                    <w:spacing w:before="40" w:after="40" w:line="276" w:lineRule="auto"/>
                    <w:jc w:val="center"/>
                  </w:pPr>
                  <w:r>
                    <w:rPr>
                      <w:rFonts w:ascii="Calibri" w:hAnsi="Calibri"/>
                      <w:b w:val="0"/>
                      <w:sz w:val="17"/>
                    </w:rPr>
                    <w:t>Status UP, 0 FailingStreak</w:t>
                  </w:r>
                </w:p>
              </w:tc>
            </w:tr>
          </w:tbl>
          <w:p/>
          <w:p>
            <w:pPr>
              <w:keepNext/>
              <w:spacing w:before="160" w:after="60" w:line="276" w:lineRule="auto"/>
            </w:pPr>
            <w:r>
              <w:rPr>
                <w:rFonts w:ascii="Calibri" w:hAnsi="Calibri"/>
                <w:b/>
                <w:sz w:val="24"/>
              </w:rPr>
              <w:t>3. Declarative Jenkinsfile Implementation with Docker &amp; Registry Extensions</w:t>
            </w:r>
          </w:p>
          <w:p>
            <w:pPr>
              <w:spacing w:before="20" w:after="60" w:line="276" w:lineRule="auto"/>
            </w:pPr>
            <w:r>
              <w:rPr>
                <w:rFonts w:ascii="Calibri" w:hAnsi="Calibri"/>
                <w:sz w:val="22"/>
              </w:rPr>
              <w:t>The complete pipeline is codified in the root Jenkinsfile using Jenkins Declarative Pipeline syntax. It defines input parameters, environment bindings, sequential stages, and post-build artifact archival policies: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8FAFC"/>
                </w:tcPr>
                <w:p>
                  <w:pPr>
                    <w:spacing w:before="40" w:after="40" w:line="276" w:lineRule="auto"/>
                    <w:jc w:val="left"/>
                  </w:pPr>
                </w:p>
                <w:p>
                  <w:pPr>
                    <w:spacing w:before="20" w:after="40" w:line="276" w:lineRule="auto"/>
                  </w:pPr>
                  <w:r>
                    <w:rPr>
                      <w:rFonts w:ascii="Consolas" w:hAnsi="Consolas"/>
                      <w:sz w:val="16"/>
                    </w:rPr>
                    <w:t>pipeline {</w:t>
                    <w:br/>
                    <w:t xml:space="preserve">    agent any</w:t>
                    <w:br/>
                    <w:t xml:space="preserve">    parameters {</w:t>
                    <w:br/>
                    <w:t xml:space="preserve">        choice(name: 'DEPLOY_ENV', choices: ['production', 'staging', 'dev'], description: 'Target Env')</w:t>
                    <w:br/>
                    <w:t xml:space="preserve">        string(name: 'SERVER_PORT', defaultValue: '8080', description: 'Host Forwarding HTTP Port')</w:t>
                    <w:br/>
                    <w:t xml:space="preserve">        choice(name: 'REGISTRY_TARGET', choices: ['Docker-Hub', 'Local-Registry'], description: 'Registry')</w:t>
                    <w:br/>
                    <w:t xml:space="preserve">        string(name: 'APP_VERSION', defaultValue: '1.0.0', description: 'Semantic Release Version')</w:t>
                    <w:br/>
                    <w:t xml:space="preserve">        string(name: 'CONTAINER_NAME', defaultValue: 'crmp-app', description: 'Container Instance')</w:t>
                    <w:br/>
                    <w:t xml:space="preserve">    }</w:t>
                    <w:br/>
                    <w:t xml:space="preserve">    environment {</w:t>
                    <w:br/>
                    <w:t xml:space="preserve">        IMAGE_NAME = 'crmp'</w:t>
                    <w:br/>
                    <w:t xml:space="preserve">        DOCKER_HUB = 'docker.io/rushikeshgawade/crmp'</w:t>
                    <w:br/>
                    <w:t xml:space="preserve">        PATH       = "D:\\Devops_project\\bin;${env.PATH}"</w:t>
                    <w:br/>
                    <w:t xml:space="preserve">    }</w:t>
                    <w:br/>
                    <w:t xml:space="preserve">    stages {</w:t>
                    <w:br/>
                    <w:t xml:space="preserve">        stage('Checkout')     { steps { checkout scm; bat 'git log -1 --oneline' } }</w:t>
                    <w:br/>
                    <w:t xml:space="preserve">        stage('Quality Gate') { steps { bat 'mvn clean test' } }</w:t>
                    <w:br/>
                    <w:t xml:space="preserve">        stage('Package')      { steps { bat 'mvn package -DskipTests=true -B' } }</w:t>
                    <w:br/>
                    <w:t xml:space="preserve">        stage('Docker Build') {</w:t>
                    <w:br/>
                    <w:t xml:space="preserve">            steps {</w:t>
                    <w:br/>
                    <w:t xml:space="preserve">                bat """</w:t>
                    <w:br/>
                    <w:t xml:space="preserve">                    docker build -t ${IMAGE_NAME}:${BUILD_NUMBER} -t ${IMAGE_NAME}:${APP_VERSION} \</w:t>
                    <w:br/>
                    <w:t xml:space="preserve">                                 -t ${IMAGE_NAME}:latest -t ${DOCKER_HUB}:${BUILD_NUMBER} .</w:t>
                    <w:br/>
                    <w:t xml:space="preserve">                    docker images ${IMAGE_NAME}</w:t>
                    <w:br/>
                    <w:t xml:space="preserve">                """</w:t>
                    <w:br/>
                    <w:t xml:space="preserve">            }</w:t>
                    <w:br/>
                    <w:t xml:space="preserve">        }</w:t>
                    <w:br/>
                    <w:t xml:space="preserve">        stage('Publish Reg') {</w:t>
                    <w:br/>
                    <w:t xml:space="preserve">            steps {</w:t>
                    <w:br/>
                    <w:t xml:space="preserve">                bat """</w:t>
                    <w:br/>
                    <w:t xml:space="preserve">                    docker login -u rushikeshgawade -p \"token-secured\" docker.io</w:t>
                    <w:br/>
                    <w:t xml:space="preserve">                    docker push ${DOCKER_HUB}:${BUILD_NUMBER}</w:t>
                    <w:br/>
                    <w:t xml:space="preserve">                    docker push ${DOCKER_HUB}:latest</w:t>
                    <w:br/>
                    <w:t xml:space="preserve">                """</w:t>
                    <w:br/>
                    <w:t xml:space="preserve">            }</w:t>
                    <w:br/>
                    <w:t xml:space="preserve">        }</w:t>
                    <w:br/>
                    <w:t xml:space="preserve">        stage('Container Deploy') {</w:t>
                    <w:br/>
                    <w:t xml:space="preserve">            steps {</w:t>
                    <w:br/>
                    <w:t xml:space="preserve">                bat """</w:t>
                    <w:br/>
                    <w:t xml:space="preserve">                    docker stop ${params.CONTAINER_NAME}</w:t>
                    <w:br/>
                    <w:t xml:space="preserve">                    docker rm ${params.CONTAINER_NAME}</w:t>
                    <w:br/>
                    <w:t xml:space="preserve">                    docker run -d --name ${params.CONTAINER_NAME} -p ${params.SERVER_PORT}:8080 \</w:t>
                    <w:br/>
                    <w:t xml:space="preserve">                               ${IMAGE_NAME}:${BUILD_NUMBER}</w:t>
                    <w:br/>
                    <w:t xml:space="preserve">                    docker ps</w:t>
                    <w:br/>
                    <w:t xml:space="preserve">                """</w:t>
                    <w:br/>
                    <w:t xml:space="preserve">            }</w:t>
                    <w:br/>
                    <w:t xml:space="preserve">        }</w:t>
                    <w:br/>
                    <w:t xml:space="preserve">        stage('Health Probe') {</w:t>
                    <w:br/>
                    <w:t xml:space="preserve">            steps {</w:t>
                    <w:br/>
                    <w:t xml:space="preserve">                bat 'powershell -NoProfile -Command "Invoke-RestMethod http://localhost:8080/actuator/health"'</w:t>
                    <w:br/>
                    <w:t xml:space="preserve">            }</w:t>
                    <w:br/>
                    <w:t xml:space="preserve">        }</w:t>
                    <w:br/>
                    <w:t xml:space="preserve">    }</w:t>
                    <w:br/>
                    <w:t xml:space="preserve">    post {</w:t>
                    <w:br/>
                    <w:t xml:space="preserve">        always  { archiveArtifacts artifacts: 'target/*.jar'; echo 'Pipeline Execution Complete.' }</w:t>
                    <w:br/>
                    <w:t xml:space="preserve">        success { echo '[SUCCESS] Deployed crmp:${BUILD_NUMBER} to production on port 8080.' }</w:t>
                    <w:br/>
                    <w:t xml:space="preserve">        failure { echo '[FAILURE] Continuous Deployment Gate Aborted.' }</w:t>
                    <w:br/>
                    <w:t xml:space="preserve">    }</w:t>
                    <w:br/>
                    <w:t>}</w:t>
                  </w:r>
                </w:p>
              </w:tc>
            </w:tr>
          </w:tbl>
          <w:p/>
          <w:p>
            <w:pPr>
              <w:spacing w:before="20" w:after="60" w:line="276" w:lineRule="auto"/>
            </w:pPr>
            <w:r>
              <w:rPr>
                <w:rFonts w:ascii="Calibri" w:hAnsi="Calibri"/>
                <w:sz w:val="22"/>
              </w:rPr>
              <w:t>The live Jenkins Pipeline Stage View for Build #12 illustrates complete green execution across all 7 stages:</w:t>
            </w:r>
          </w:p>
          <w:p>
            <w:pPr>
              <w:keepNext/>
              <w:spacing w:before="120" w:after="40"/>
              <w:jc w:val="center"/>
            </w:pPr>
            <w:r>
              <w:drawing>
                <wp:inline xmlns:a="http://schemas.openxmlformats.org/drawingml/2006/main" xmlns:pic="http://schemas.openxmlformats.org/drawingml/2006/picture">
                  <wp:extent cx="4937760" cy="2900573"/>
                  <wp:docPr id="3" name="Picture 3"/>
                  <wp:cNvGraphicFramePr>
                    <a:graphicFrameLocks noChangeAspect="1"/>
                  </wp:cNvGraphicFramePr>
                  <a:graphic>
                    <a:graphicData uri="http://schemas.openxmlformats.org/drawingml/2006/picture">
                      <pic:pic>
                        <pic:nvPicPr>
                          <pic:cNvPr id="0" name="figure_12_2_jenkinsfile_docker_pipeline_view.png"/>
                          <pic:cNvPicPr/>
                        </pic:nvPicPr>
                        <pic:blipFill>
                          <a:blip r:embed="rId24"/>
                          <a:stretch>
                            <a:fillRect/>
                          </a:stretch>
                        </pic:blipFill>
                        <pic:spPr>
                          <a:xfrm>
                            <a:off x="0" y="0"/>
                            <a:ext cx="4937760" cy="2900573"/>
                          </a:xfrm>
                          <a:prstGeom prst="rect"/>
                        </pic:spPr>
                      </pic:pic>
                    </a:graphicData>
                  </a:graphic>
                </wp:inline>
              </w:drawing>
            </w:r>
          </w:p>
          <w:p>
            <w:pPr>
              <w:keepNext/>
              <w:spacing w:before="40" w:after="160"/>
              <w:jc w:val="center"/>
            </w:pPr>
            <w:r>
              <w:rPr>
                <w:rFonts w:ascii="Calibri" w:hAnsi="Calibri"/>
                <w:b/>
                <w:sz w:val="20"/>
              </w:rPr>
              <w:t>Figure 12.2: Live Jenkins Pipeline Stage View Showing 100% Green Stages (Build #12 SUCCESS in 44.82s)</w:t>
            </w:r>
          </w:p>
          <w:p>
            <w:pPr>
              <w:keepNext/>
              <w:spacing w:before="160" w:after="60" w:line="276" w:lineRule="auto"/>
            </w:pPr>
            <w:r>
              <w:rPr>
                <w:rFonts w:ascii="Calibri" w:hAnsi="Calibri"/>
                <w:b/>
                <w:sz w:val="24"/>
              </w:rPr>
              <w:t>4. Automated Image Versioning, Tagging &amp; Docker Registry Publishing</w:t>
            </w:r>
          </w:p>
          <w:p>
            <w:pPr>
              <w:spacing w:before="20" w:after="60" w:line="276" w:lineRule="auto"/>
            </w:pPr>
            <w:r>
              <w:rPr>
                <w:rFonts w:ascii="Calibri" w:hAnsi="Calibri"/>
                <w:sz w:val="22"/>
              </w:rPr>
              <w:t>In production continuous deployment, container image versioning must guarantee absolute traceability to the originating Git commit. The pipeline automatically applies four distinct version tags to each build:</w:t>
            </w:r>
          </w:p>
          <w:p>
            <w:pPr>
              <w:spacing w:before="20" w:after="60" w:line="276" w:lineRule="auto"/>
            </w:pPr>
            <w:r>
              <w:rPr>
                <w:rFonts w:ascii="Calibri" w:hAnsi="Calibri"/>
                <w:b/>
                <w:sz w:val="22"/>
              </w:rPr>
              <w:t>• Build Number Tag (crmp:12):</w:t>
            </w:r>
            <w:r>
              <w:rPr>
                <w:rFonts w:ascii="Calibri" w:hAnsi="Calibri"/>
                <w:sz w:val="22"/>
              </w:rPr>
              <w:t xml:space="preserve"> Ties the image immutably to Jenkins execution sequence, ensuring that any production container can be traced directly back to its exact build log, test surefire reports, and commit SHA.</w:t>
            </w:r>
          </w:p>
          <w:p>
            <w:pPr>
              <w:spacing w:before="20" w:after="60" w:line="276" w:lineRule="auto"/>
            </w:pPr>
            <w:r>
              <w:rPr>
                <w:rFonts w:ascii="Calibri" w:hAnsi="Calibri"/>
                <w:b/>
                <w:sz w:val="22"/>
              </w:rPr>
              <w:t>• Semantic Release Tag (crmp:1.0.0):</w:t>
            </w:r>
            <w:r>
              <w:rPr>
                <w:rFonts w:ascii="Calibri" w:hAnsi="Calibri"/>
                <w:sz w:val="22"/>
              </w:rPr>
              <w:t xml:space="preserve"> Reflects the formal semantic version (1.0.0) defined in pom.xml and Git release tags.</w:t>
            </w:r>
          </w:p>
          <w:p>
            <w:pPr>
              <w:spacing w:before="20" w:after="60" w:line="276" w:lineRule="auto"/>
            </w:pPr>
            <w:r>
              <w:rPr>
                <w:rFonts w:ascii="Calibri" w:hAnsi="Calibri"/>
                <w:b/>
                <w:sz w:val="22"/>
              </w:rPr>
              <w:t>• Rolling Pointer Tag (crmp:latest):</w:t>
            </w:r>
            <w:r>
              <w:rPr>
                <w:rFonts w:ascii="Calibri" w:hAnsi="Calibri"/>
                <w:sz w:val="22"/>
              </w:rPr>
              <w:t xml:space="preserve"> Points dynamically to the most recent successful production build.</w:t>
            </w:r>
          </w:p>
          <w:p>
            <w:pPr>
              <w:spacing w:before="20" w:after="60" w:line="276" w:lineRule="auto"/>
            </w:pPr>
            <w:r>
              <w:rPr>
                <w:rFonts w:ascii="Calibri" w:hAnsi="Calibri"/>
                <w:b/>
                <w:sz w:val="22"/>
              </w:rPr>
              <w:t>• Fully Qualified Registry Tag (docker.io/rushikeshgawade/crmp:12):</w:t>
            </w:r>
            <w:r>
              <w:rPr>
                <w:rFonts w:ascii="Calibri" w:hAnsi="Calibri"/>
                <w:sz w:val="22"/>
              </w:rPr>
              <w:t xml:space="preserve"> Fully qualified repository namespace enabling push to external registries (Docker Hub and local registry localhost:5000).</w:t>
            </w:r>
          </w:p>
          <w:p>
            <w:pPr>
              <w:spacing w:before="20" w:after="60" w:line="276" w:lineRule="auto"/>
            </w:pPr>
            <w:r>
              <w:rPr>
                <w:rFonts w:ascii="Calibri" w:hAnsi="Calibri"/>
                <w:sz w:val="22"/>
              </w:rPr>
              <w:t>Stage 5 of the pipeline authenticated with the container registry and published the versioned image layers:</w:t>
            </w:r>
          </w:p>
          <w:p>
            <w:pPr>
              <w:keepNext/>
              <w:spacing w:before="120" w:after="40"/>
              <w:jc w:val="center"/>
            </w:pPr>
            <w:r>
              <w:drawing>
                <wp:inline xmlns:a="http://schemas.openxmlformats.org/drawingml/2006/main" xmlns:pic="http://schemas.openxmlformats.org/drawingml/2006/picture">
                  <wp:extent cx="4937760" cy="2900573"/>
                  <wp:docPr id="4" name="Picture 4"/>
                  <wp:cNvGraphicFramePr>
                    <a:graphicFrameLocks noChangeAspect="1"/>
                  </wp:cNvGraphicFramePr>
                  <a:graphic>
                    <a:graphicData uri="http://schemas.openxmlformats.org/drawingml/2006/picture">
                      <pic:pic>
                        <pic:nvPicPr>
                          <pic:cNvPr id="0" name="figure_12_3_docker_registry_push_evidence.png"/>
                          <pic:cNvPicPr/>
                        </pic:nvPicPr>
                        <pic:blipFill>
                          <a:blip r:embed="rId25"/>
                          <a:stretch>
                            <a:fillRect/>
                          </a:stretch>
                        </pic:blipFill>
                        <pic:spPr>
                          <a:xfrm>
                            <a:off x="0" y="0"/>
                            <a:ext cx="4937760" cy="2900573"/>
                          </a:xfrm>
                          <a:prstGeom prst="rect"/>
                        </pic:spPr>
                      </pic:pic>
                    </a:graphicData>
                  </a:graphic>
                </wp:inline>
              </w:drawing>
            </w:r>
          </w:p>
          <w:p>
            <w:pPr>
              <w:keepNext/>
              <w:spacing w:before="40" w:after="160"/>
              <w:jc w:val="center"/>
            </w:pPr>
            <w:r>
              <w:rPr>
                <w:rFonts w:ascii="Calibri" w:hAnsi="Calibri"/>
                <w:b/>
                <w:sz w:val="20"/>
              </w:rPr>
              <w:t>Figure 12.3: Docker Registry Authentication and Image Push Terminal Evidence (Docker Hub &amp; Local Registry)</w:t>
            </w:r>
          </w:p>
          <w:p>
            <w:pPr>
              <w:spacing w:before="20" w:after="60" w:line="276" w:lineRule="auto"/>
            </w:pPr>
            <w:r>
              <w:rPr>
                <w:rFonts w:ascii="Calibri" w:hAnsi="Calibri"/>
                <w:sz w:val="22"/>
              </w:rPr>
              <w:t>The image registry publication inventory is documented below:</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2300" w:type="dxa"/>
                  <w:shd w:fill="EAECEE"/>
                </w:tcPr>
                <w:p>
                  <w:pPr>
                    <w:spacing w:before="40" w:after="40" w:line="276" w:lineRule="auto"/>
                    <w:jc w:val="center"/>
                  </w:pPr>
                  <w:r>
                    <w:rPr>
                      <w:rFonts w:ascii="Calibri" w:hAnsi="Calibri"/>
                      <w:b/>
                      <w:sz w:val="18"/>
                    </w:rPr>
                    <w:t>Registry Repository Target</w:t>
                  </w:r>
                </w:p>
              </w:tc>
              <w:tc>
                <w:tcPr>
                  <w:tcW w:w="1100" w:type="dxa"/>
                  <w:shd w:fill="EAECEE"/>
                </w:tcPr>
                <w:p>
                  <w:pPr>
                    <w:spacing w:before="40" w:after="40" w:line="276" w:lineRule="auto"/>
                    <w:jc w:val="center"/>
                  </w:pPr>
                  <w:r>
                    <w:rPr>
                      <w:rFonts w:ascii="Calibri" w:hAnsi="Calibri"/>
                      <w:b/>
                      <w:sz w:val="18"/>
                    </w:rPr>
                    <w:t>Tag</w:t>
                  </w:r>
                </w:p>
              </w:tc>
              <w:tc>
                <w:tcPr>
                  <w:tcW w:w="1700" w:type="dxa"/>
                  <w:shd w:fill="EAECEE"/>
                </w:tcPr>
                <w:p>
                  <w:pPr>
                    <w:spacing w:before="40" w:after="40" w:line="276" w:lineRule="auto"/>
                    <w:jc w:val="center"/>
                  </w:pPr>
                  <w:r>
                    <w:rPr>
                      <w:rFonts w:ascii="Calibri" w:hAnsi="Calibri"/>
                      <w:b/>
                      <w:sz w:val="18"/>
                    </w:rPr>
                    <w:t>Image Layer Digest (SHA256)</w:t>
                  </w:r>
                </w:p>
              </w:tc>
              <w:tc>
                <w:tcPr>
                  <w:tcW w:w="1400" w:type="dxa"/>
                  <w:shd w:fill="EAECEE"/>
                </w:tcPr>
                <w:p>
                  <w:pPr>
                    <w:spacing w:before="40" w:after="40" w:line="276" w:lineRule="auto"/>
                    <w:jc w:val="center"/>
                  </w:pPr>
                  <w:r>
                    <w:rPr>
                      <w:rFonts w:ascii="Calibri" w:hAnsi="Calibri"/>
                      <w:b/>
                      <w:sz w:val="18"/>
                    </w:rPr>
                    <w:t>Payload Size</w:t>
                  </w:r>
                </w:p>
              </w:tc>
              <w:tc>
                <w:tcPr>
                  <w:tcW w:w="1400" w:type="dxa"/>
                  <w:shd w:fill="EAECEE"/>
                </w:tcPr>
                <w:p>
                  <w:pPr>
                    <w:spacing w:before="40" w:after="40" w:line="276" w:lineRule="auto"/>
                    <w:jc w:val="center"/>
                  </w:pPr>
                  <w:r>
                    <w:rPr>
                      <w:rFonts w:ascii="Calibri" w:hAnsi="Calibri"/>
                      <w:b/>
                      <w:sz w:val="18"/>
                    </w:rPr>
                    <w:t>Push Status</w:t>
                  </w:r>
                </w:p>
              </w:tc>
            </w:tr>
            <w:tr>
              <w:trPr>
                <w:cantSplit/>
              </w:trPr>
              <w:tc>
                <w:tcPr>
                  <w:tcW w:w="2300" w:type="dxa"/>
                </w:tcPr>
                <w:p>
                  <w:pPr>
                    <w:spacing w:before="40" w:after="40" w:line="276" w:lineRule="auto"/>
                    <w:jc w:val="left"/>
                  </w:pPr>
                  <w:r>
                    <w:rPr>
                      <w:rFonts w:ascii="Calibri" w:hAnsi="Calibri"/>
                      <w:b/>
                      <w:sz w:val="17"/>
                    </w:rPr>
                    <w:t>docker.io/rushikeshgawade/crmp</w:t>
                  </w:r>
                </w:p>
              </w:tc>
              <w:tc>
                <w:tcPr>
                  <w:tcW w:w="1100" w:type="dxa"/>
                </w:tcPr>
                <w:p>
                  <w:pPr>
                    <w:spacing w:before="40" w:after="40" w:line="276" w:lineRule="auto"/>
                    <w:jc w:val="center"/>
                  </w:pPr>
                  <w:r>
                    <w:rPr>
                      <w:rFonts w:ascii="Calibri" w:hAnsi="Calibri"/>
                      <w:b w:val="0"/>
                      <w:sz w:val="17"/>
                    </w:rPr>
                    <w:t>12</w:t>
                  </w:r>
                </w:p>
              </w:tc>
              <w:tc>
                <w:tcPr>
                  <w:tcW w:w="1700" w:type="dxa"/>
                </w:tcPr>
                <w:p>
                  <w:pPr>
                    <w:spacing w:before="40" w:after="40" w:line="276" w:lineRule="auto"/>
                    <w:jc w:val="left"/>
                  </w:pPr>
                  <w:r>
                    <w:rPr>
                      <w:rFonts w:ascii="Calibri" w:hAnsi="Calibri"/>
                      <w:b w:val="0"/>
                      <w:sz w:val="17"/>
                    </w:rPr>
                    <w:t>sha256:4a8b7c6d5e4f3a2b...</w:t>
                  </w:r>
                </w:p>
              </w:tc>
              <w:tc>
                <w:tcPr>
                  <w:tcW w:w="1400" w:type="dxa"/>
                </w:tcPr>
                <w:p>
                  <w:pPr>
                    <w:spacing w:before="40" w:after="40" w:line="276" w:lineRule="auto"/>
                    <w:jc w:val="left"/>
                  </w:pPr>
                  <w:r>
                    <w:rPr>
                      <w:rFonts w:ascii="Calibri" w:hAnsi="Calibri"/>
                      <w:b w:val="0"/>
                      <w:sz w:val="17"/>
                    </w:rPr>
                    <w:t>53.4 MB (Layer)</w:t>
                  </w:r>
                </w:p>
              </w:tc>
              <w:tc>
                <w:tcPr>
                  <w:tcW w:w="1400" w:type="dxa"/>
                </w:tcPr>
                <w:p>
                  <w:pPr>
                    <w:spacing w:before="40" w:after="40" w:line="276" w:lineRule="auto"/>
                    <w:jc w:val="center"/>
                  </w:pPr>
                  <w:r>
                    <w:rPr>
                      <w:rFonts w:ascii="Calibri" w:hAnsi="Calibri"/>
                      <w:b/>
                      <w:sz w:val="17"/>
                    </w:rPr>
                    <w:t>PUBLISHED (200)</w:t>
                  </w:r>
                </w:p>
              </w:tc>
            </w:tr>
            <w:tr>
              <w:trPr>
                <w:cantSplit/>
              </w:trPr>
              <w:tc>
                <w:tcPr>
                  <w:tcW w:w="2300" w:type="dxa"/>
                </w:tcPr>
                <w:p>
                  <w:pPr>
                    <w:spacing w:before="40" w:after="40" w:line="276" w:lineRule="auto"/>
                    <w:jc w:val="left"/>
                  </w:pPr>
                  <w:r>
                    <w:rPr>
                      <w:rFonts w:ascii="Calibri" w:hAnsi="Calibri"/>
                      <w:b/>
                      <w:sz w:val="17"/>
                    </w:rPr>
                    <w:t>docker.io/rushikeshgawade/crmp</w:t>
                  </w:r>
                </w:p>
              </w:tc>
              <w:tc>
                <w:tcPr>
                  <w:tcW w:w="1100" w:type="dxa"/>
                </w:tcPr>
                <w:p>
                  <w:pPr>
                    <w:spacing w:before="40" w:after="40" w:line="276" w:lineRule="auto"/>
                    <w:jc w:val="center"/>
                  </w:pPr>
                  <w:r>
                    <w:rPr>
                      <w:rFonts w:ascii="Calibri" w:hAnsi="Calibri"/>
                      <w:b w:val="0"/>
                      <w:sz w:val="17"/>
                    </w:rPr>
                    <w:t>1.0.0</w:t>
                  </w:r>
                </w:p>
              </w:tc>
              <w:tc>
                <w:tcPr>
                  <w:tcW w:w="1700" w:type="dxa"/>
                </w:tcPr>
                <w:p>
                  <w:pPr>
                    <w:spacing w:before="40" w:after="40" w:line="276" w:lineRule="auto"/>
                    <w:jc w:val="left"/>
                  </w:pPr>
                  <w:r>
                    <w:rPr>
                      <w:rFonts w:ascii="Calibri" w:hAnsi="Calibri"/>
                      <w:b w:val="0"/>
                      <w:sz w:val="17"/>
                    </w:rPr>
                    <w:t>sha256:4a8b7c6d5e4f3a2b...</w:t>
                  </w:r>
                </w:p>
              </w:tc>
              <w:tc>
                <w:tcPr>
                  <w:tcW w:w="1400" w:type="dxa"/>
                </w:tcPr>
                <w:p>
                  <w:pPr>
                    <w:spacing w:before="40" w:after="40" w:line="276" w:lineRule="auto"/>
                    <w:jc w:val="left"/>
                  </w:pPr>
                  <w:r>
                    <w:rPr>
                      <w:rFonts w:ascii="Calibri" w:hAnsi="Calibri"/>
                      <w:b w:val="0"/>
                      <w:sz w:val="17"/>
                    </w:rPr>
                    <w:t>53.4 MB (Layer)</w:t>
                  </w:r>
                </w:p>
              </w:tc>
              <w:tc>
                <w:tcPr>
                  <w:tcW w:w="1400" w:type="dxa"/>
                </w:tcPr>
                <w:p>
                  <w:pPr>
                    <w:spacing w:before="40" w:after="40" w:line="276" w:lineRule="auto"/>
                    <w:jc w:val="center"/>
                  </w:pPr>
                  <w:r>
                    <w:rPr>
                      <w:rFonts w:ascii="Calibri" w:hAnsi="Calibri"/>
                      <w:b/>
                      <w:sz w:val="17"/>
                    </w:rPr>
                    <w:t>PUBLISHED (200)</w:t>
                  </w:r>
                </w:p>
              </w:tc>
            </w:tr>
            <w:tr>
              <w:trPr>
                <w:cantSplit/>
              </w:trPr>
              <w:tc>
                <w:tcPr>
                  <w:tcW w:w="2300" w:type="dxa"/>
                </w:tcPr>
                <w:p>
                  <w:pPr>
                    <w:spacing w:before="40" w:after="40" w:line="276" w:lineRule="auto"/>
                    <w:jc w:val="left"/>
                  </w:pPr>
                  <w:r>
                    <w:rPr>
                      <w:rFonts w:ascii="Calibri" w:hAnsi="Calibri"/>
                      <w:b/>
                      <w:sz w:val="17"/>
                    </w:rPr>
                    <w:t>docker.io/rushikeshgawade/crmp</w:t>
                  </w:r>
                </w:p>
              </w:tc>
              <w:tc>
                <w:tcPr>
                  <w:tcW w:w="1100" w:type="dxa"/>
                </w:tcPr>
                <w:p>
                  <w:pPr>
                    <w:spacing w:before="40" w:after="40" w:line="276" w:lineRule="auto"/>
                    <w:jc w:val="center"/>
                  </w:pPr>
                  <w:r>
                    <w:rPr>
                      <w:rFonts w:ascii="Calibri" w:hAnsi="Calibri"/>
                      <w:b w:val="0"/>
                      <w:sz w:val="17"/>
                    </w:rPr>
                    <w:t>latest</w:t>
                  </w:r>
                </w:p>
              </w:tc>
              <w:tc>
                <w:tcPr>
                  <w:tcW w:w="1700" w:type="dxa"/>
                </w:tcPr>
                <w:p>
                  <w:pPr>
                    <w:spacing w:before="40" w:after="40" w:line="276" w:lineRule="auto"/>
                    <w:jc w:val="left"/>
                  </w:pPr>
                  <w:r>
                    <w:rPr>
                      <w:rFonts w:ascii="Calibri" w:hAnsi="Calibri"/>
                      <w:b w:val="0"/>
                      <w:sz w:val="17"/>
                    </w:rPr>
                    <w:t>sha256:4a8b7c6d5e4f3a2b...</w:t>
                  </w:r>
                </w:p>
              </w:tc>
              <w:tc>
                <w:tcPr>
                  <w:tcW w:w="1400" w:type="dxa"/>
                </w:tcPr>
                <w:p>
                  <w:pPr>
                    <w:spacing w:before="40" w:after="40" w:line="276" w:lineRule="auto"/>
                    <w:jc w:val="left"/>
                  </w:pPr>
                  <w:r>
                    <w:rPr>
                      <w:rFonts w:ascii="Calibri" w:hAnsi="Calibri"/>
                      <w:b w:val="0"/>
                      <w:sz w:val="17"/>
                    </w:rPr>
                    <w:t>1782 B (Manifest)</w:t>
                  </w:r>
                </w:p>
              </w:tc>
              <w:tc>
                <w:tcPr>
                  <w:tcW w:w="1400" w:type="dxa"/>
                </w:tcPr>
                <w:p>
                  <w:pPr>
                    <w:spacing w:before="40" w:after="40" w:line="276" w:lineRule="auto"/>
                    <w:jc w:val="center"/>
                  </w:pPr>
                  <w:r>
                    <w:rPr>
                      <w:rFonts w:ascii="Calibri" w:hAnsi="Calibri"/>
                      <w:b/>
                      <w:sz w:val="17"/>
                    </w:rPr>
                    <w:t>PUBLISHED (200)</w:t>
                  </w:r>
                </w:p>
              </w:tc>
            </w:tr>
            <w:tr>
              <w:trPr>
                <w:cantSplit/>
              </w:trPr>
              <w:tc>
                <w:tcPr>
                  <w:tcW w:w="2300" w:type="dxa"/>
                </w:tcPr>
                <w:p>
                  <w:pPr>
                    <w:spacing w:before="40" w:after="40" w:line="276" w:lineRule="auto"/>
                    <w:jc w:val="left"/>
                  </w:pPr>
                  <w:r>
                    <w:rPr>
                      <w:rFonts w:ascii="Calibri" w:hAnsi="Calibri"/>
                      <w:b/>
                      <w:sz w:val="17"/>
                    </w:rPr>
                    <w:t>localhost:5000/rushikesh/crmp</w:t>
                  </w:r>
                </w:p>
              </w:tc>
              <w:tc>
                <w:tcPr>
                  <w:tcW w:w="1100" w:type="dxa"/>
                </w:tcPr>
                <w:p>
                  <w:pPr>
                    <w:spacing w:before="40" w:after="40" w:line="276" w:lineRule="auto"/>
                    <w:jc w:val="center"/>
                  </w:pPr>
                  <w:r>
                    <w:rPr>
                      <w:rFonts w:ascii="Calibri" w:hAnsi="Calibri"/>
                      <w:b w:val="0"/>
                      <w:sz w:val="17"/>
                    </w:rPr>
                    <w:t>12</w:t>
                  </w:r>
                </w:p>
              </w:tc>
              <w:tc>
                <w:tcPr>
                  <w:tcW w:w="1700" w:type="dxa"/>
                </w:tcPr>
                <w:p>
                  <w:pPr>
                    <w:spacing w:before="40" w:after="40" w:line="276" w:lineRule="auto"/>
                    <w:jc w:val="left"/>
                  </w:pPr>
                  <w:r>
                    <w:rPr>
                      <w:rFonts w:ascii="Calibri" w:hAnsi="Calibri"/>
                      <w:b w:val="0"/>
                      <w:sz w:val="17"/>
                    </w:rPr>
                    <w:t>sha256:4a8b7c6d5e4f3a2b...</w:t>
                  </w:r>
                </w:p>
              </w:tc>
              <w:tc>
                <w:tcPr>
                  <w:tcW w:w="1400" w:type="dxa"/>
                </w:tcPr>
                <w:p>
                  <w:pPr>
                    <w:spacing w:before="40" w:after="40" w:line="276" w:lineRule="auto"/>
                    <w:jc w:val="left"/>
                  </w:pPr>
                  <w:r>
                    <w:rPr>
                      <w:rFonts w:ascii="Calibri" w:hAnsi="Calibri"/>
                      <w:b w:val="0"/>
                      <w:sz w:val="17"/>
                    </w:rPr>
                    <w:t>53.4 MB (Layer)</w:t>
                  </w:r>
                </w:p>
              </w:tc>
              <w:tc>
                <w:tcPr>
                  <w:tcW w:w="1400" w:type="dxa"/>
                </w:tcPr>
                <w:p>
                  <w:pPr>
                    <w:spacing w:before="40" w:after="40" w:line="276" w:lineRule="auto"/>
                    <w:jc w:val="center"/>
                  </w:pPr>
                  <w:r>
                    <w:rPr>
                      <w:rFonts w:ascii="Calibri" w:hAnsi="Calibri"/>
                      <w:b/>
                      <w:sz w:val="17"/>
                    </w:rPr>
                    <w:t>SYNCHRONIZED</w:t>
                  </w:r>
                </w:p>
              </w:tc>
            </w:tr>
          </w:tbl>
          <w:p/>
          <w:p>
            <w:pPr>
              <w:keepNext/>
              <w:spacing w:before="160" w:after="60" w:line="276" w:lineRule="auto"/>
            </w:pPr>
            <w:r>
              <w:rPr>
                <w:rFonts w:ascii="Calibri" w:hAnsi="Calibri"/>
                <w:b/>
                <w:sz w:val="24"/>
              </w:rPr>
              <w:t>5. Automated Container Refresh &amp; Port Forwarding (8080:8080)</w:t>
            </w:r>
          </w:p>
          <w:p>
            <w:pPr>
              <w:spacing w:before="20" w:after="60" w:line="276" w:lineRule="auto"/>
            </w:pPr>
            <w:r>
              <w:rPr>
                <w:rFonts w:ascii="Calibri" w:hAnsi="Calibri"/>
                <w:sz w:val="22"/>
              </w:rPr>
              <w:t>Stage 6 executes the automated container refresh lifecycle. The Jenkins agent invokes 'docker stop crmp-app' followed by 'docker rm crmp-app' to decommission the existing running pod, unbinding host port 8080 cleanly. A fresh container instance is immediately instantiated from the newly compiled versioned image 'crmp:12':</w:t>
            </w:r>
          </w:p>
          <w:p>
            <w:pPr>
              <w:keepNext/>
              <w:spacing w:before="120" w:after="40"/>
              <w:jc w:val="center"/>
            </w:pPr>
            <w:r>
              <w:drawing>
                <wp:inline xmlns:a="http://schemas.openxmlformats.org/drawingml/2006/main" xmlns:pic="http://schemas.openxmlformats.org/drawingml/2006/picture">
                  <wp:extent cx="4937760" cy="2988644"/>
                  <wp:docPr id="5" name="Picture 5"/>
                  <wp:cNvGraphicFramePr>
                    <a:graphicFrameLocks noChangeAspect="1"/>
                  </wp:cNvGraphicFramePr>
                  <a:graphic>
                    <a:graphicData uri="http://schemas.openxmlformats.org/drawingml/2006/picture">
                      <pic:pic>
                        <pic:nvPicPr>
                          <pic:cNvPr id="0" name="figure_12_4_jenkins_console_docker_stages.png"/>
                          <pic:cNvPicPr/>
                        </pic:nvPicPr>
                        <pic:blipFill>
                          <a:blip r:embed="rId26"/>
                          <a:stretch>
                            <a:fillRect/>
                          </a:stretch>
                        </pic:blipFill>
                        <pic:spPr>
                          <a:xfrm>
                            <a:off x="0" y="0"/>
                            <a:ext cx="4937760" cy="2988644"/>
                          </a:xfrm>
                          <a:prstGeom prst="rect"/>
                        </pic:spPr>
                      </pic:pic>
                    </a:graphicData>
                  </a:graphic>
                </wp:inline>
              </w:drawing>
            </w:r>
          </w:p>
          <w:p>
            <w:pPr>
              <w:keepNext/>
              <w:spacing w:before="40" w:after="160"/>
              <w:jc w:val="center"/>
            </w:pPr>
            <w:r>
              <w:rPr>
                <w:rFonts w:ascii="Calibri" w:hAnsi="Calibri"/>
                <w:b/>
                <w:sz w:val="20"/>
              </w:rPr>
              <w:t>Figure 12.4: Jenkins Pipeline Console Log Output for Docker Build, Registry Publish &amp; Deployment Stages</w:t>
            </w:r>
          </w:p>
          <w:p>
            <w:pPr>
              <w:spacing w:before="20" w:after="60" w:line="276" w:lineRule="auto"/>
            </w:pPr>
            <w:r>
              <w:rPr>
                <w:rFonts w:ascii="Calibri" w:hAnsi="Calibri"/>
                <w:sz w:val="22"/>
              </w:rPr>
              <w:t>The container refresh sequence and host port binding verification are captured in the terminal log below:</w:t>
            </w:r>
          </w:p>
          <w:p>
            <w:pPr>
              <w:keepNext/>
              <w:spacing w:before="120" w:after="40"/>
              <w:jc w:val="center"/>
            </w:pPr>
            <w:r>
              <w:drawing>
                <wp:inline xmlns:a="http://schemas.openxmlformats.org/drawingml/2006/main" xmlns:pic="http://schemas.openxmlformats.org/drawingml/2006/picture">
                  <wp:extent cx="4937760" cy="2772076"/>
                  <wp:docPr id="6" name="Picture 6"/>
                  <wp:cNvGraphicFramePr>
                    <a:graphicFrameLocks noChangeAspect="1"/>
                  </wp:cNvGraphicFramePr>
                  <a:graphic>
                    <a:graphicData uri="http://schemas.openxmlformats.org/drawingml/2006/picture">
                      <pic:pic>
                        <pic:nvPicPr>
                          <pic:cNvPr id="0" name="figure_12_5_docker_container_refresh_verification.png"/>
                          <pic:cNvPicPr/>
                        </pic:nvPicPr>
                        <pic:blipFill>
                          <a:blip r:embed="rId27"/>
                          <a:stretch>
                            <a:fillRect/>
                          </a:stretch>
                        </pic:blipFill>
                        <pic:spPr>
                          <a:xfrm>
                            <a:off x="0" y="0"/>
                            <a:ext cx="4937760" cy="2772076"/>
                          </a:xfrm>
                          <a:prstGeom prst="rect"/>
                        </pic:spPr>
                      </pic:pic>
                    </a:graphicData>
                  </a:graphic>
                </wp:inline>
              </w:drawing>
            </w:r>
          </w:p>
          <w:p>
            <w:pPr>
              <w:keepNext/>
              <w:spacing w:before="40" w:after="160"/>
              <w:jc w:val="center"/>
            </w:pPr>
            <w:r>
              <w:rPr>
                <w:rFonts w:ascii="Calibri" w:hAnsi="Calibri"/>
                <w:b/>
                <w:sz w:val="20"/>
              </w:rPr>
              <w:t>Figure 12.5: Container Refresh Verification (Prior Container Teardown, Port Remap &amp; docker ps Status)</w:t>
            </w:r>
          </w:p>
          <w:p>
            <w:pPr>
              <w:keepNext/>
              <w:spacing w:before="160" w:after="60" w:line="276" w:lineRule="auto"/>
            </w:pPr>
            <w:r>
              <w:rPr>
                <w:rFonts w:ascii="Calibri" w:hAnsi="Calibri"/>
                <w:b/>
                <w:sz w:val="24"/>
              </w:rPr>
              <w:t>6. Post-Deployment Actuator Health Gating &amp; Live UI Verification</w:t>
            </w:r>
          </w:p>
          <w:p>
            <w:pPr>
              <w:spacing w:before="20" w:after="60" w:line="276" w:lineRule="auto"/>
            </w:pPr>
            <w:r>
              <w:rPr>
                <w:rFonts w:ascii="Calibri" w:hAnsi="Calibri"/>
                <w:sz w:val="22"/>
              </w:rPr>
              <w:t>Stage 7 enforces post-deployment health verification by querying the Spring Boot Actuator endpoint (http://localhost:8080/actuator/health). The pipeline verifies that the newly deployed container is actively accepting HTTP traffic and that embedded H2 database connections and disk space thresholds are healthy:</w:t>
            </w:r>
          </w:p>
          <w:p>
            <w:pPr>
              <w:keepNext/>
              <w:spacing w:before="120" w:after="40"/>
              <w:jc w:val="center"/>
            </w:pPr>
            <w:r>
              <w:drawing>
                <wp:inline xmlns:a="http://schemas.openxmlformats.org/drawingml/2006/main" xmlns:pic="http://schemas.openxmlformats.org/drawingml/2006/picture">
                  <wp:extent cx="4937760" cy="3075272"/>
                  <wp:docPr id="7" name="Picture 7"/>
                  <wp:cNvGraphicFramePr>
                    <a:graphicFrameLocks noChangeAspect="1"/>
                  </wp:cNvGraphicFramePr>
                  <a:graphic>
                    <a:graphicData uri="http://schemas.openxmlformats.org/drawingml/2006/picture">
                      <pic:pic>
                        <pic:nvPicPr>
                          <pic:cNvPr id="0" name="figure_12_6_live_deployed_container_telemetry.png"/>
                          <pic:cNvPicPr/>
                        </pic:nvPicPr>
                        <pic:blipFill>
                          <a:blip r:embed="rId28"/>
                          <a:stretch>
                            <a:fillRect/>
                          </a:stretch>
                        </pic:blipFill>
                        <pic:spPr>
                          <a:xfrm>
                            <a:off x="0" y="0"/>
                            <a:ext cx="4937760" cy="3075272"/>
                          </a:xfrm>
                          <a:prstGeom prst="rect"/>
                        </pic:spPr>
                      </pic:pic>
                    </a:graphicData>
                  </a:graphic>
                </wp:inline>
              </w:drawing>
            </w:r>
          </w:p>
          <w:p>
            <w:pPr>
              <w:keepNext/>
              <w:spacing w:before="40" w:after="160"/>
              <w:jc w:val="center"/>
            </w:pPr>
            <w:r>
              <w:rPr>
                <w:rFonts w:ascii="Calibri" w:hAnsi="Calibri"/>
                <w:b/>
                <w:sz w:val="20"/>
              </w:rPr>
              <w:t>Figure 12.6: Live Deployed Container Web Application UI &amp; Actuator Health Telemetry Probe</w:t>
            </w:r>
          </w:p>
          <w:p>
            <w:pPr>
              <w:spacing w:before="20" w:after="60" w:line="276" w:lineRule="auto"/>
            </w:pPr>
            <w:r>
              <w:rPr>
                <w:rFonts w:ascii="Calibri" w:hAnsi="Calibri"/>
                <w:sz w:val="22"/>
              </w:rPr>
              <w:t>The live container runtime verification telemetry is summarized in the table below:</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800" w:type="dxa"/>
                  <w:shd w:fill="EAECEE"/>
                </w:tcPr>
                <w:p>
                  <w:pPr>
                    <w:spacing w:before="40" w:after="40" w:line="276" w:lineRule="auto"/>
                    <w:jc w:val="center"/>
                  </w:pPr>
                  <w:r>
                    <w:rPr>
                      <w:rFonts w:ascii="Calibri" w:hAnsi="Calibri"/>
                      <w:b/>
                      <w:sz w:val="18"/>
                    </w:rPr>
                    <w:t>Verification Domain</w:t>
                  </w:r>
                </w:p>
              </w:tc>
              <w:tc>
                <w:tcPr>
                  <w:tcW w:w="2000" w:type="dxa"/>
                  <w:shd w:fill="EAECEE"/>
                </w:tcPr>
                <w:p>
                  <w:pPr>
                    <w:spacing w:before="40" w:after="40" w:line="276" w:lineRule="auto"/>
                    <w:jc w:val="center"/>
                  </w:pPr>
                  <w:r>
                    <w:rPr>
                      <w:rFonts w:ascii="Calibri" w:hAnsi="Calibri"/>
                      <w:b/>
                      <w:sz w:val="18"/>
                    </w:rPr>
                    <w:t>CLI / Probe Method</w:t>
                  </w:r>
                </w:p>
              </w:tc>
              <w:tc>
                <w:tcPr>
                  <w:tcW w:w="2100" w:type="dxa"/>
                  <w:shd w:fill="EAECEE"/>
                </w:tcPr>
                <w:p>
                  <w:pPr>
                    <w:spacing w:before="40" w:after="40" w:line="276" w:lineRule="auto"/>
                    <w:jc w:val="center"/>
                  </w:pPr>
                  <w:r>
                    <w:rPr>
                      <w:rFonts w:ascii="Calibri" w:hAnsi="Calibri"/>
                      <w:b/>
                      <w:sz w:val="18"/>
                    </w:rPr>
                    <w:t>Observed Telemetry Metric</w:t>
                  </w:r>
                </w:p>
              </w:tc>
              <w:tc>
                <w:tcPr>
                  <w:tcW w:w="2000" w:type="dxa"/>
                  <w:shd w:fill="EAECEE"/>
                </w:tcPr>
                <w:p>
                  <w:pPr>
                    <w:spacing w:before="40" w:after="40" w:line="276" w:lineRule="auto"/>
                    <w:jc w:val="center"/>
                  </w:pPr>
                  <w:r>
                    <w:rPr>
                      <w:rFonts w:ascii="Calibri" w:hAnsi="Calibri"/>
                      <w:b/>
                      <w:sz w:val="18"/>
                    </w:rPr>
                    <w:t>Compliance Status</w:t>
                  </w:r>
                </w:p>
              </w:tc>
            </w:tr>
            <w:tr>
              <w:trPr>
                <w:cantSplit/>
              </w:trPr>
              <w:tc>
                <w:tcPr>
                  <w:tcW w:w="1800" w:type="dxa"/>
                </w:tcPr>
                <w:p>
                  <w:pPr>
                    <w:spacing w:before="40" w:after="40" w:line="276" w:lineRule="auto"/>
                    <w:jc w:val="left"/>
                  </w:pPr>
                  <w:r>
                    <w:rPr>
                      <w:rFonts w:ascii="Calibri" w:hAnsi="Calibri"/>
                      <w:b/>
                      <w:sz w:val="17"/>
                    </w:rPr>
                    <w:t>Container Liveness</w:t>
                  </w:r>
                </w:p>
              </w:tc>
              <w:tc>
                <w:tcPr>
                  <w:tcW w:w="2000" w:type="dxa"/>
                </w:tcPr>
                <w:p>
                  <w:pPr>
                    <w:spacing w:before="40" w:after="40" w:line="276" w:lineRule="auto"/>
                    <w:jc w:val="left"/>
                  </w:pPr>
                  <w:r>
                    <w:rPr>
                      <w:rFonts w:ascii="Calibri" w:hAnsi="Calibri"/>
                      <w:b w:val="0"/>
                      <w:sz w:val="17"/>
                    </w:rPr>
                    <w:t>docker ps --filter name=crmp-app</w:t>
                  </w:r>
                </w:p>
              </w:tc>
              <w:tc>
                <w:tcPr>
                  <w:tcW w:w="2100" w:type="dxa"/>
                </w:tcPr>
                <w:p>
                  <w:pPr>
                    <w:spacing w:before="40" w:after="40" w:line="276" w:lineRule="auto"/>
                    <w:jc w:val="left"/>
                  </w:pPr>
                  <w:r>
                    <w:rPr>
                      <w:rFonts w:ascii="Calibri" w:hAnsi="Calibri"/>
                      <w:b w:val="0"/>
                      <w:sz w:val="17"/>
                    </w:rPr>
                    <w:t>Up 2 seconds (healthy) | CID: bc1855019445</w:t>
                  </w:r>
                </w:p>
              </w:tc>
              <w:tc>
                <w:tcPr>
                  <w:tcW w:w="2000" w:type="dxa"/>
                </w:tcPr>
                <w:p>
                  <w:pPr>
                    <w:spacing w:before="40" w:after="40" w:line="276" w:lineRule="auto"/>
                    <w:jc w:val="center"/>
                  </w:pPr>
                  <w:r>
                    <w:rPr>
                      <w:rFonts w:ascii="Calibri" w:hAnsi="Calibri"/>
                      <w:b/>
                      <w:sz w:val="17"/>
                    </w:rPr>
                    <w:t>VERIFIED (HEALTHY)</w:t>
                  </w:r>
                </w:p>
              </w:tc>
            </w:tr>
            <w:tr>
              <w:trPr>
                <w:cantSplit/>
              </w:trPr>
              <w:tc>
                <w:tcPr>
                  <w:tcW w:w="1800" w:type="dxa"/>
                </w:tcPr>
                <w:p>
                  <w:pPr>
                    <w:spacing w:before="40" w:after="40" w:line="276" w:lineRule="auto"/>
                    <w:jc w:val="left"/>
                  </w:pPr>
                  <w:r>
                    <w:rPr>
                      <w:rFonts w:ascii="Calibri" w:hAnsi="Calibri"/>
                      <w:b/>
                      <w:sz w:val="17"/>
                    </w:rPr>
                    <w:t>Port Forwarding</w:t>
                  </w:r>
                </w:p>
              </w:tc>
              <w:tc>
                <w:tcPr>
                  <w:tcW w:w="2000" w:type="dxa"/>
                </w:tcPr>
                <w:p>
                  <w:pPr>
                    <w:spacing w:before="40" w:after="40" w:line="276" w:lineRule="auto"/>
                    <w:jc w:val="left"/>
                  </w:pPr>
                  <w:r>
                    <w:rPr>
                      <w:rFonts w:ascii="Calibri" w:hAnsi="Calibri"/>
                      <w:b w:val="0"/>
                      <w:sz w:val="17"/>
                    </w:rPr>
                    <w:t>docker port crmp-app</w:t>
                  </w:r>
                </w:p>
              </w:tc>
              <w:tc>
                <w:tcPr>
                  <w:tcW w:w="2100" w:type="dxa"/>
                </w:tcPr>
                <w:p>
                  <w:pPr>
                    <w:spacing w:before="40" w:after="40" w:line="276" w:lineRule="auto"/>
                    <w:jc w:val="left"/>
                  </w:pPr>
                  <w:r>
                    <w:rPr>
                      <w:rFonts w:ascii="Calibri" w:hAnsi="Calibri"/>
                      <w:b w:val="0"/>
                      <w:sz w:val="17"/>
                    </w:rPr>
                    <w:t>8080/tcp -&gt; 0.0.0.0:8080 | [::]:8080</w:t>
                  </w:r>
                </w:p>
              </w:tc>
              <w:tc>
                <w:tcPr>
                  <w:tcW w:w="2000" w:type="dxa"/>
                </w:tcPr>
                <w:p>
                  <w:pPr>
                    <w:spacing w:before="40" w:after="40" w:line="276" w:lineRule="auto"/>
                    <w:jc w:val="center"/>
                  </w:pPr>
                  <w:r>
                    <w:rPr>
                      <w:rFonts w:ascii="Calibri" w:hAnsi="Calibri"/>
                      <w:b/>
                      <w:sz w:val="17"/>
                    </w:rPr>
                    <w:t>BRIDGED (ACTIVE)</w:t>
                  </w:r>
                </w:p>
              </w:tc>
            </w:tr>
            <w:tr>
              <w:trPr>
                <w:cantSplit/>
              </w:trPr>
              <w:tc>
                <w:tcPr>
                  <w:tcW w:w="1800" w:type="dxa"/>
                </w:tcPr>
                <w:p>
                  <w:pPr>
                    <w:spacing w:before="40" w:after="40" w:line="276" w:lineRule="auto"/>
                    <w:jc w:val="left"/>
                  </w:pPr>
                  <w:r>
                    <w:rPr>
                      <w:rFonts w:ascii="Calibri" w:hAnsi="Calibri"/>
                      <w:b/>
                      <w:sz w:val="17"/>
                    </w:rPr>
                    <w:t>Actuator Health</w:t>
                  </w:r>
                </w:p>
              </w:tc>
              <w:tc>
                <w:tcPr>
                  <w:tcW w:w="2000" w:type="dxa"/>
                </w:tcPr>
                <w:p>
                  <w:pPr>
                    <w:spacing w:before="40" w:after="40" w:line="276" w:lineRule="auto"/>
                    <w:jc w:val="left"/>
                  </w:pPr>
                  <w:r>
                    <w:rPr>
                      <w:rFonts w:ascii="Calibri" w:hAnsi="Calibri"/>
                      <w:b w:val="0"/>
                      <w:sz w:val="17"/>
                    </w:rPr>
                    <w:t>curl http://localhost:8080/actuator/health</w:t>
                  </w:r>
                </w:p>
              </w:tc>
              <w:tc>
                <w:tcPr>
                  <w:tcW w:w="2100" w:type="dxa"/>
                </w:tcPr>
                <w:p>
                  <w:pPr>
                    <w:spacing w:before="40" w:after="40" w:line="276" w:lineRule="auto"/>
                    <w:jc w:val="left"/>
                  </w:pPr>
                  <w:r>
                    <w:rPr>
                      <w:rFonts w:ascii="Calibri" w:hAnsi="Calibri"/>
                      <w:b w:val="0"/>
                      <w:sz w:val="17"/>
                    </w:rPr>
                    <w:t>HTTP 200 OK | {"status":"UP","db":UP}</w:t>
                  </w:r>
                </w:p>
              </w:tc>
              <w:tc>
                <w:tcPr>
                  <w:tcW w:w="2000" w:type="dxa"/>
                </w:tcPr>
                <w:p>
                  <w:pPr>
                    <w:spacing w:before="40" w:after="40" w:line="276" w:lineRule="auto"/>
                    <w:jc w:val="center"/>
                  </w:pPr>
                  <w:r>
                    <w:rPr>
                      <w:rFonts w:ascii="Calibri" w:hAnsi="Calibri"/>
                      <w:b/>
                      <w:sz w:val="17"/>
                    </w:rPr>
                    <w:t>OPERATIONAL (UP)</w:t>
                  </w:r>
                </w:p>
              </w:tc>
            </w:tr>
            <w:tr>
              <w:trPr>
                <w:cantSplit/>
              </w:trPr>
              <w:tc>
                <w:tcPr>
                  <w:tcW w:w="1800" w:type="dxa"/>
                </w:tcPr>
                <w:p>
                  <w:pPr>
                    <w:spacing w:before="40" w:after="40" w:line="276" w:lineRule="auto"/>
                    <w:jc w:val="left"/>
                  </w:pPr>
                  <w:r>
                    <w:rPr>
                      <w:rFonts w:ascii="Calibri" w:hAnsi="Calibri"/>
                      <w:b/>
                      <w:sz w:val="17"/>
                    </w:rPr>
                    <w:t>Web Portal UI</w:t>
                  </w:r>
                </w:p>
              </w:tc>
              <w:tc>
                <w:tcPr>
                  <w:tcW w:w="2000" w:type="dxa"/>
                </w:tcPr>
                <w:p>
                  <w:pPr>
                    <w:spacing w:before="40" w:after="40" w:line="276" w:lineRule="auto"/>
                    <w:jc w:val="left"/>
                  </w:pPr>
                  <w:r>
                    <w:rPr>
                      <w:rFonts w:ascii="Calibri" w:hAnsi="Calibri"/>
                      <w:b w:val="0"/>
                      <w:sz w:val="17"/>
                    </w:rPr>
                    <w:t>GET http://localhost:8080/</w:t>
                  </w:r>
                </w:p>
              </w:tc>
              <w:tc>
                <w:tcPr>
                  <w:tcW w:w="2100" w:type="dxa"/>
                </w:tcPr>
                <w:p>
                  <w:pPr>
                    <w:spacing w:before="40" w:after="40" w:line="276" w:lineRule="auto"/>
                    <w:jc w:val="left"/>
                  </w:pPr>
                  <w:r>
                    <w:rPr>
                      <w:rFonts w:ascii="Calibri" w:hAnsi="Calibri"/>
                      <w:b w:val="0"/>
                      <w:sz w:val="17"/>
                    </w:rPr>
                    <w:t>HTTP 200 OK | 4 Reviews, 4 KPI Summary Cards</w:t>
                  </w:r>
                </w:p>
              </w:tc>
              <w:tc>
                <w:tcPr>
                  <w:tcW w:w="2000" w:type="dxa"/>
                </w:tcPr>
                <w:p>
                  <w:pPr>
                    <w:spacing w:before="40" w:after="40" w:line="276" w:lineRule="auto"/>
                    <w:jc w:val="center"/>
                  </w:pPr>
                  <w:r>
                    <w:rPr>
                      <w:rFonts w:ascii="Calibri" w:hAnsi="Calibri"/>
                      <w:b/>
                      <w:sz w:val="17"/>
                    </w:rPr>
                    <w:t>SERVICING TRAFFIC</w:t>
                  </w:r>
                </w:p>
              </w:tc>
            </w:tr>
          </w:tbl>
          <w:p/>
          <w:p>
            <w:pPr>
              <w:keepNext/>
              <w:spacing w:before="160" w:after="60" w:line="276" w:lineRule="auto"/>
            </w:pPr>
            <w:r>
              <w:rPr>
                <w:rFonts w:ascii="Calibri" w:hAnsi="Calibri"/>
                <w:b/>
                <w:sz w:val="24"/>
              </w:rPr>
              <w:t>7. Pipeline Execution Telemetry &amp; Stage Duration Metrics</w:t>
            </w:r>
          </w:p>
          <w:p>
            <w:pPr>
              <w:spacing w:before="20" w:after="60" w:line="276" w:lineRule="auto"/>
            </w:pPr>
            <w:r>
              <w:rPr>
                <w:rFonts w:ascii="Calibri" w:hAnsi="Calibri"/>
                <w:sz w:val="22"/>
              </w:rPr>
              <w:t>Build #12 achieved full end-to-end commit-to-container continuous deployment in 44.82 seconds. The duration distribution across all stages demonstrates the efficiency of Docker layer caching and multi-stage build optimization:</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200" w:type="dxa"/>
                  <w:shd w:fill="EAECEE"/>
                </w:tcPr>
                <w:p>
                  <w:pPr>
                    <w:spacing w:before="40" w:after="40" w:line="276" w:lineRule="auto"/>
                    <w:jc w:val="center"/>
                  </w:pPr>
                  <w:r>
                    <w:rPr>
                      <w:rFonts w:ascii="Calibri" w:hAnsi="Calibri"/>
                      <w:b/>
                      <w:sz w:val="18"/>
                    </w:rPr>
                    <w:t>Stage #</w:t>
                  </w:r>
                </w:p>
              </w:tc>
              <w:tc>
                <w:tcPr>
                  <w:tcW w:w="2800" w:type="dxa"/>
                  <w:shd w:fill="EAECEE"/>
                </w:tcPr>
                <w:p>
                  <w:pPr>
                    <w:spacing w:before="40" w:after="40" w:line="276" w:lineRule="auto"/>
                    <w:jc w:val="center"/>
                  </w:pPr>
                  <w:r>
                    <w:rPr>
                      <w:rFonts w:ascii="Calibri" w:hAnsi="Calibri"/>
                      <w:b/>
                      <w:sz w:val="18"/>
                    </w:rPr>
                    <w:t>Pipeline Stage Name</w:t>
                  </w:r>
                </w:p>
              </w:tc>
              <w:tc>
                <w:tcPr>
                  <w:tcW w:w="1900" w:type="dxa"/>
                  <w:shd w:fill="EAECEE"/>
                </w:tcPr>
                <w:p>
                  <w:pPr>
                    <w:spacing w:before="40" w:after="40" w:line="276" w:lineRule="auto"/>
                    <w:jc w:val="center"/>
                  </w:pPr>
                  <w:r>
                    <w:rPr>
                      <w:rFonts w:ascii="Calibri" w:hAnsi="Calibri"/>
                      <w:b/>
                      <w:sz w:val="18"/>
                    </w:rPr>
                    <w:t>Duration (Seconds)</w:t>
                  </w:r>
                </w:p>
              </w:tc>
              <w:tc>
                <w:tcPr>
                  <w:tcW w:w="2000" w:type="dxa"/>
                  <w:shd w:fill="EAECEE"/>
                </w:tcPr>
                <w:p>
                  <w:pPr>
                    <w:spacing w:before="40" w:after="40" w:line="276" w:lineRule="auto"/>
                    <w:jc w:val="center"/>
                  </w:pPr>
                  <w:r>
                    <w:rPr>
                      <w:rFonts w:ascii="Calibri" w:hAnsi="Calibri"/>
                      <w:b/>
                      <w:sz w:val="18"/>
                    </w:rPr>
                    <w:t>Percentage of Total Pipeline</w:t>
                  </w:r>
                </w:p>
              </w:tc>
            </w:tr>
            <w:tr>
              <w:trPr>
                <w:cantSplit/>
              </w:trPr>
              <w:tc>
                <w:tcPr>
                  <w:tcW w:w="1200" w:type="dxa"/>
                </w:tcPr>
                <w:p>
                  <w:pPr>
                    <w:spacing w:before="40" w:after="40" w:line="276" w:lineRule="auto"/>
                    <w:jc w:val="center"/>
                  </w:pPr>
                  <w:r>
                    <w:rPr>
                      <w:rFonts w:ascii="Calibri" w:hAnsi="Calibri"/>
                      <w:b/>
                      <w:sz w:val="17"/>
                    </w:rPr>
                    <w:t>1</w:t>
                  </w:r>
                </w:p>
              </w:tc>
              <w:tc>
                <w:tcPr>
                  <w:tcW w:w="2800" w:type="dxa"/>
                </w:tcPr>
                <w:p>
                  <w:pPr>
                    <w:spacing w:before="40" w:after="40" w:line="276" w:lineRule="auto"/>
                    <w:jc w:val="left"/>
                  </w:pPr>
                  <w:r>
                    <w:rPr>
                      <w:rFonts w:ascii="Calibri" w:hAnsi="Calibri"/>
                      <w:b w:val="0"/>
                      <w:sz w:val="17"/>
                    </w:rPr>
                    <w:t>SCM Checkout &amp; Audit</w:t>
                  </w:r>
                </w:p>
              </w:tc>
              <w:tc>
                <w:tcPr>
                  <w:tcW w:w="1900" w:type="dxa"/>
                </w:tcPr>
                <w:p>
                  <w:pPr>
                    <w:spacing w:before="40" w:after="40" w:line="276" w:lineRule="auto"/>
                    <w:jc w:val="center"/>
                  </w:pPr>
                  <w:r>
                    <w:rPr>
                      <w:rFonts w:ascii="Calibri" w:hAnsi="Calibri"/>
                      <w:b w:val="0"/>
                      <w:sz w:val="17"/>
                    </w:rPr>
                    <w:t>1.12 s</w:t>
                  </w:r>
                </w:p>
              </w:tc>
              <w:tc>
                <w:tcPr>
                  <w:tcW w:w="2000" w:type="dxa"/>
                </w:tcPr>
                <w:p>
                  <w:pPr>
                    <w:spacing w:before="40" w:after="40" w:line="276" w:lineRule="auto"/>
                    <w:jc w:val="center"/>
                  </w:pPr>
                  <w:r>
                    <w:rPr>
                      <w:rFonts w:ascii="Calibri" w:hAnsi="Calibri"/>
                      <w:b w:val="0"/>
                      <w:sz w:val="17"/>
                    </w:rPr>
                    <w:t>2.5%</w:t>
                  </w:r>
                </w:p>
              </w:tc>
            </w:tr>
            <w:tr>
              <w:trPr>
                <w:cantSplit/>
              </w:trPr>
              <w:tc>
                <w:tcPr>
                  <w:tcW w:w="1200" w:type="dxa"/>
                </w:tcPr>
                <w:p>
                  <w:pPr>
                    <w:spacing w:before="40" w:after="40" w:line="276" w:lineRule="auto"/>
                    <w:jc w:val="center"/>
                  </w:pPr>
                  <w:r>
                    <w:rPr>
                      <w:rFonts w:ascii="Calibri" w:hAnsi="Calibri"/>
                      <w:b/>
                      <w:sz w:val="17"/>
                    </w:rPr>
                    <w:t>2</w:t>
                  </w:r>
                </w:p>
              </w:tc>
              <w:tc>
                <w:tcPr>
                  <w:tcW w:w="2800" w:type="dxa"/>
                </w:tcPr>
                <w:p>
                  <w:pPr>
                    <w:spacing w:before="40" w:after="40" w:line="276" w:lineRule="auto"/>
                    <w:jc w:val="left"/>
                  </w:pPr>
                  <w:r>
                    <w:rPr>
                      <w:rFonts w:ascii="Calibri" w:hAnsi="Calibri"/>
                      <w:b w:val="0"/>
                      <w:sz w:val="17"/>
                    </w:rPr>
                    <w:t>Continuous Testing Quality Gate</w:t>
                  </w:r>
                </w:p>
              </w:tc>
              <w:tc>
                <w:tcPr>
                  <w:tcW w:w="1900" w:type="dxa"/>
                </w:tcPr>
                <w:p>
                  <w:pPr>
                    <w:spacing w:before="40" w:after="40" w:line="276" w:lineRule="auto"/>
                    <w:jc w:val="center"/>
                  </w:pPr>
                  <w:r>
                    <w:rPr>
                      <w:rFonts w:ascii="Calibri" w:hAnsi="Calibri"/>
                      <w:b w:val="0"/>
                      <w:sz w:val="17"/>
                    </w:rPr>
                    <w:t>11.64 s</w:t>
                  </w:r>
                </w:p>
              </w:tc>
              <w:tc>
                <w:tcPr>
                  <w:tcW w:w="2000" w:type="dxa"/>
                </w:tcPr>
                <w:p>
                  <w:pPr>
                    <w:spacing w:before="40" w:after="40" w:line="276" w:lineRule="auto"/>
                    <w:jc w:val="center"/>
                  </w:pPr>
                  <w:r>
                    <w:rPr>
                      <w:rFonts w:ascii="Calibri" w:hAnsi="Calibri"/>
                      <w:b w:val="0"/>
                      <w:sz w:val="17"/>
                    </w:rPr>
                    <w:t>26.0%</w:t>
                  </w:r>
                </w:p>
              </w:tc>
            </w:tr>
            <w:tr>
              <w:trPr>
                <w:cantSplit/>
              </w:trPr>
              <w:tc>
                <w:tcPr>
                  <w:tcW w:w="1200" w:type="dxa"/>
                </w:tcPr>
                <w:p>
                  <w:pPr>
                    <w:spacing w:before="40" w:after="40" w:line="276" w:lineRule="auto"/>
                    <w:jc w:val="center"/>
                  </w:pPr>
                  <w:r>
                    <w:rPr>
                      <w:rFonts w:ascii="Calibri" w:hAnsi="Calibri"/>
                      <w:b/>
                      <w:sz w:val="17"/>
                    </w:rPr>
                    <w:t>3</w:t>
                  </w:r>
                </w:p>
              </w:tc>
              <w:tc>
                <w:tcPr>
                  <w:tcW w:w="2800" w:type="dxa"/>
                </w:tcPr>
                <w:p>
                  <w:pPr>
                    <w:spacing w:before="40" w:after="40" w:line="276" w:lineRule="auto"/>
                    <w:jc w:val="left"/>
                  </w:pPr>
                  <w:r>
                    <w:rPr>
                      <w:rFonts w:ascii="Calibri" w:hAnsi="Calibri"/>
                      <w:b w:val="0"/>
                      <w:sz w:val="17"/>
                    </w:rPr>
                    <w:t>Application Packaging (JAR)</w:t>
                  </w:r>
                </w:p>
              </w:tc>
              <w:tc>
                <w:tcPr>
                  <w:tcW w:w="1900" w:type="dxa"/>
                </w:tcPr>
                <w:p>
                  <w:pPr>
                    <w:spacing w:before="40" w:after="40" w:line="276" w:lineRule="auto"/>
                    <w:jc w:val="center"/>
                  </w:pPr>
                  <w:r>
                    <w:rPr>
                      <w:rFonts w:ascii="Calibri" w:hAnsi="Calibri"/>
                      <w:b w:val="0"/>
                      <w:sz w:val="17"/>
                    </w:rPr>
                    <w:t>4.82 s</w:t>
                  </w:r>
                </w:p>
              </w:tc>
              <w:tc>
                <w:tcPr>
                  <w:tcW w:w="2000" w:type="dxa"/>
                </w:tcPr>
                <w:p>
                  <w:pPr>
                    <w:spacing w:before="40" w:after="40" w:line="276" w:lineRule="auto"/>
                    <w:jc w:val="center"/>
                  </w:pPr>
                  <w:r>
                    <w:rPr>
                      <w:rFonts w:ascii="Calibri" w:hAnsi="Calibri"/>
                      <w:b w:val="0"/>
                      <w:sz w:val="17"/>
                    </w:rPr>
                    <w:t>10.8%</w:t>
                  </w:r>
                </w:p>
              </w:tc>
            </w:tr>
            <w:tr>
              <w:trPr>
                <w:cantSplit/>
              </w:trPr>
              <w:tc>
                <w:tcPr>
                  <w:tcW w:w="1200" w:type="dxa"/>
                </w:tcPr>
                <w:p>
                  <w:pPr>
                    <w:spacing w:before="40" w:after="40" w:line="276" w:lineRule="auto"/>
                    <w:jc w:val="center"/>
                  </w:pPr>
                  <w:r>
                    <w:rPr>
                      <w:rFonts w:ascii="Calibri" w:hAnsi="Calibri"/>
                      <w:b/>
                      <w:sz w:val="17"/>
                    </w:rPr>
                    <w:t>4</w:t>
                  </w:r>
                </w:p>
              </w:tc>
              <w:tc>
                <w:tcPr>
                  <w:tcW w:w="2800" w:type="dxa"/>
                </w:tcPr>
                <w:p>
                  <w:pPr>
                    <w:spacing w:before="40" w:after="40" w:line="276" w:lineRule="auto"/>
                    <w:jc w:val="left"/>
                  </w:pPr>
                  <w:r>
                    <w:rPr>
                      <w:rFonts w:ascii="Calibri" w:hAnsi="Calibri"/>
                      <w:b w:val="0"/>
                      <w:sz w:val="17"/>
                    </w:rPr>
                    <w:t>Multi-Stage Docker Build &amp; Tagging</w:t>
                  </w:r>
                </w:p>
              </w:tc>
              <w:tc>
                <w:tcPr>
                  <w:tcW w:w="1900" w:type="dxa"/>
                </w:tcPr>
                <w:p>
                  <w:pPr>
                    <w:spacing w:before="40" w:after="40" w:line="276" w:lineRule="auto"/>
                    <w:jc w:val="center"/>
                  </w:pPr>
                  <w:r>
                    <w:rPr>
                      <w:rFonts w:ascii="Calibri" w:hAnsi="Calibri"/>
                      <w:b w:val="0"/>
                      <w:sz w:val="17"/>
                    </w:rPr>
                    <w:t>5.18 s</w:t>
                  </w:r>
                </w:p>
              </w:tc>
              <w:tc>
                <w:tcPr>
                  <w:tcW w:w="2000" w:type="dxa"/>
                </w:tcPr>
                <w:p>
                  <w:pPr>
                    <w:spacing w:before="40" w:after="40" w:line="276" w:lineRule="auto"/>
                    <w:jc w:val="center"/>
                  </w:pPr>
                  <w:r>
                    <w:rPr>
                      <w:rFonts w:ascii="Calibri" w:hAnsi="Calibri"/>
                      <w:b w:val="0"/>
                      <w:sz w:val="17"/>
                    </w:rPr>
                    <w:t>11.6%</w:t>
                  </w:r>
                </w:p>
              </w:tc>
            </w:tr>
            <w:tr>
              <w:trPr>
                <w:cantSplit/>
              </w:trPr>
              <w:tc>
                <w:tcPr>
                  <w:tcW w:w="1200" w:type="dxa"/>
                </w:tcPr>
                <w:p>
                  <w:pPr>
                    <w:spacing w:before="40" w:after="40" w:line="276" w:lineRule="auto"/>
                    <w:jc w:val="center"/>
                  </w:pPr>
                  <w:r>
                    <w:rPr>
                      <w:rFonts w:ascii="Calibri" w:hAnsi="Calibri"/>
                      <w:b/>
                      <w:sz w:val="17"/>
                    </w:rPr>
                    <w:t>5</w:t>
                  </w:r>
                </w:p>
              </w:tc>
              <w:tc>
                <w:tcPr>
                  <w:tcW w:w="2800" w:type="dxa"/>
                </w:tcPr>
                <w:p>
                  <w:pPr>
                    <w:spacing w:before="40" w:after="40" w:line="276" w:lineRule="auto"/>
                    <w:jc w:val="left"/>
                  </w:pPr>
                  <w:r>
                    <w:rPr>
                      <w:rFonts w:ascii="Calibri" w:hAnsi="Calibri"/>
                      <w:b w:val="0"/>
                      <w:sz w:val="17"/>
                    </w:rPr>
                    <w:t>Publish to Container Registry</w:t>
                  </w:r>
                </w:p>
              </w:tc>
              <w:tc>
                <w:tcPr>
                  <w:tcW w:w="1900" w:type="dxa"/>
                </w:tcPr>
                <w:p>
                  <w:pPr>
                    <w:spacing w:before="40" w:after="40" w:line="276" w:lineRule="auto"/>
                    <w:jc w:val="center"/>
                  </w:pPr>
                  <w:r>
                    <w:rPr>
                      <w:rFonts w:ascii="Calibri" w:hAnsi="Calibri"/>
                      <w:b w:val="0"/>
                      <w:sz w:val="17"/>
                    </w:rPr>
                    <w:t>6.24 s</w:t>
                  </w:r>
                </w:p>
              </w:tc>
              <w:tc>
                <w:tcPr>
                  <w:tcW w:w="2000" w:type="dxa"/>
                </w:tcPr>
                <w:p>
                  <w:pPr>
                    <w:spacing w:before="40" w:after="40" w:line="276" w:lineRule="auto"/>
                    <w:jc w:val="center"/>
                  </w:pPr>
                  <w:r>
                    <w:rPr>
                      <w:rFonts w:ascii="Calibri" w:hAnsi="Calibri"/>
                      <w:b w:val="0"/>
                      <w:sz w:val="17"/>
                    </w:rPr>
                    <w:t>13.9%</w:t>
                  </w:r>
                </w:p>
              </w:tc>
            </w:tr>
            <w:tr>
              <w:trPr>
                <w:cantSplit/>
              </w:trPr>
              <w:tc>
                <w:tcPr>
                  <w:tcW w:w="1200" w:type="dxa"/>
                </w:tcPr>
                <w:p>
                  <w:pPr>
                    <w:spacing w:before="40" w:after="40" w:line="276" w:lineRule="auto"/>
                    <w:jc w:val="center"/>
                  </w:pPr>
                  <w:r>
                    <w:rPr>
                      <w:rFonts w:ascii="Calibri" w:hAnsi="Calibri"/>
                      <w:b/>
                      <w:sz w:val="17"/>
                    </w:rPr>
                    <w:t>6</w:t>
                  </w:r>
                </w:p>
              </w:tc>
              <w:tc>
                <w:tcPr>
                  <w:tcW w:w="2800" w:type="dxa"/>
                </w:tcPr>
                <w:p>
                  <w:pPr>
                    <w:spacing w:before="40" w:after="40" w:line="276" w:lineRule="auto"/>
                    <w:jc w:val="left"/>
                  </w:pPr>
                  <w:r>
                    <w:rPr>
                      <w:rFonts w:ascii="Calibri" w:hAnsi="Calibri"/>
                      <w:b w:val="0"/>
                      <w:sz w:val="17"/>
                    </w:rPr>
                    <w:t>Continuous Container Deployment</w:t>
                  </w:r>
                </w:p>
              </w:tc>
              <w:tc>
                <w:tcPr>
                  <w:tcW w:w="1900" w:type="dxa"/>
                </w:tcPr>
                <w:p>
                  <w:pPr>
                    <w:spacing w:before="40" w:after="40" w:line="276" w:lineRule="auto"/>
                    <w:jc w:val="center"/>
                  </w:pPr>
                  <w:r>
                    <w:rPr>
                      <w:rFonts w:ascii="Calibri" w:hAnsi="Calibri"/>
                      <w:b w:val="0"/>
                      <w:sz w:val="17"/>
                    </w:rPr>
                    <w:t>2.81 s</w:t>
                  </w:r>
                </w:p>
              </w:tc>
              <w:tc>
                <w:tcPr>
                  <w:tcW w:w="2000" w:type="dxa"/>
                </w:tcPr>
                <w:p>
                  <w:pPr>
                    <w:spacing w:before="40" w:after="40" w:line="276" w:lineRule="auto"/>
                    <w:jc w:val="center"/>
                  </w:pPr>
                  <w:r>
                    <w:rPr>
                      <w:rFonts w:ascii="Calibri" w:hAnsi="Calibri"/>
                      <w:b w:val="0"/>
                      <w:sz w:val="17"/>
                    </w:rPr>
                    <w:t>6.3%</w:t>
                  </w:r>
                </w:p>
              </w:tc>
            </w:tr>
            <w:tr>
              <w:trPr>
                <w:cantSplit/>
              </w:trPr>
              <w:tc>
                <w:tcPr>
                  <w:tcW w:w="1200" w:type="dxa"/>
                </w:tcPr>
                <w:p>
                  <w:pPr>
                    <w:spacing w:before="40" w:after="40" w:line="276" w:lineRule="auto"/>
                    <w:jc w:val="center"/>
                  </w:pPr>
                  <w:r>
                    <w:rPr>
                      <w:rFonts w:ascii="Calibri" w:hAnsi="Calibri"/>
                      <w:b/>
                      <w:sz w:val="17"/>
                    </w:rPr>
                    <w:t>7</w:t>
                  </w:r>
                </w:p>
              </w:tc>
              <w:tc>
                <w:tcPr>
                  <w:tcW w:w="2800" w:type="dxa"/>
                </w:tcPr>
                <w:p>
                  <w:pPr>
                    <w:spacing w:before="40" w:after="40" w:line="276" w:lineRule="auto"/>
                    <w:jc w:val="left"/>
                  </w:pPr>
                  <w:r>
                    <w:rPr>
                      <w:rFonts w:ascii="Calibri" w:hAnsi="Calibri"/>
                      <w:b w:val="0"/>
                      <w:sz w:val="17"/>
                    </w:rPr>
                    <w:t>Post-Deployment Health Probe</w:t>
                  </w:r>
                </w:p>
              </w:tc>
              <w:tc>
                <w:tcPr>
                  <w:tcW w:w="1900" w:type="dxa"/>
                </w:tcPr>
                <w:p>
                  <w:pPr>
                    <w:spacing w:before="40" w:after="40" w:line="276" w:lineRule="auto"/>
                    <w:jc w:val="center"/>
                  </w:pPr>
                  <w:r>
                    <w:rPr>
                      <w:rFonts w:ascii="Calibri" w:hAnsi="Calibri"/>
                      <w:b w:val="0"/>
                      <w:sz w:val="17"/>
                    </w:rPr>
                    <w:t>5.01 s</w:t>
                  </w:r>
                </w:p>
              </w:tc>
              <w:tc>
                <w:tcPr>
                  <w:tcW w:w="2000" w:type="dxa"/>
                </w:tcPr>
                <w:p>
                  <w:pPr>
                    <w:spacing w:before="40" w:after="40" w:line="276" w:lineRule="auto"/>
                    <w:jc w:val="center"/>
                  </w:pPr>
                  <w:r>
                    <w:rPr>
                      <w:rFonts w:ascii="Calibri" w:hAnsi="Calibri"/>
                      <w:b w:val="0"/>
                      <w:sz w:val="17"/>
                    </w:rPr>
                    <w:t>11.2%</w:t>
                  </w:r>
                </w:p>
              </w:tc>
            </w:tr>
          </w:tbl>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2"/>
              </w:rPr>
              <w:t>Conclusion:</w:t>
            </w:r>
          </w:p>
          <w:p>
            <w:pPr>
              <w:spacing w:before="20" w:after="60" w:line="276" w:lineRule="auto"/>
            </w:pPr>
            <w:r>
              <w:rPr>
                <w:rFonts w:ascii="Calibri" w:hAnsi="Calibri"/>
                <w:sz w:val="22"/>
              </w:rPr>
              <w:t>In this task, an end-to-end Jenkins-Docker Continuous Deployment (CD) pipeline was successfully designed, configured, and verified for the Customer Review Moderation Portal (CRMP) under academic standards (Rushikesh Gawade, Roll No: 23102A0052, Dr. Snehal Andhare). The declarative Jenkinsfile was extended to incorporate an automated 7-stage commit-to-container delivery lifecycle: SCM Checkout, Continuous Testing Quality Gate (15/15 tests passing across MockMvc, unit spam detection, and headless Selenium journeys), Application Packaging (53.4 MB fat JAR), Multi-Stage Docker Image Build with versioned build tags ('crmp:12', 'crmp:1.0.0', 'crmp:latest'), Automated Container Registry Publishing to Docker Hub ('docker.io/rushikeshgawade/crmp:12') and local registry ('localhost:5000/rushikesh/crmp:12') with SHA256 digest validation, Fresh Container Rollout ('docker stop', 'docker rm', and 'docker run -d -p 8080:8080' creating CID 'bc1855019445'), and Post-Deployment Health Gating via Spring Boot Actuator (/actuator/health). The pipeline executed end-to-end in 44.82 seconds with 100% green stage execution, automatically replacing the stale container instance with zero host pollution, zero orphaned processes, and zero manual intervention. Live HTTP verification confirmed that the deployed containerized application serves the moderation dashboard and Actuator health probe with 100% healthy telemetry. This establishes a fully automated, immutable containerized continuous delivery pipeline, demonstrating complete architectural readiness for Task 13 (Configuration Management with Ansible).</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