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A4F6D" w14:textId="5155A49D" w:rsidR="004D06B0" w:rsidRDefault="004D06B0" w:rsidP="004D06B0">
      <w:pPr>
        <w:jc w:val="center"/>
      </w:pPr>
      <w:r>
        <w:rPr>
          <w:b/>
          <w:sz w:val="32"/>
          <w:u w:val="single"/>
        </w:rPr>
        <w:t>C.M.R.INSTITUTE OF TECHNOLOGY, BANGALORE</w:t>
      </w:r>
      <w:r>
        <w:rPr>
          <w:b/>
          <w:sz w:val="32"/>
          <w:u w:val="single"/>
        </w:rPr>
        <w:br/>
      </w:r>
      <w:r>
        <w:rPr>
          <w:b/>
          <w:sz w:val="32"/>
        </w:rPr>
        <w:t xml:space="preserve">Result Analysis of </w:t>
      </w:r>
      <w:r>
        <w:rPr>
          <w:b/>
          <w:sz w:val="32"/>
        </w:rPr>
        <w:t>2016</w:t>
      </w:r>
      <w:r>
        <w:rPr>
          <w:b/>
          <w:sz w:val="32"/>
        </w:rPr>
        <w:t xml:space="preserve"> batch in Semester </w:t>
      </w:r>
      <w:r>
        <w:rPr>
          <w:b/>
          <w:sz w:val="32"/>
        </w:rPr>
        <w:t>6</w:t>
      </w:r>
      <w:r>
        <w:rPr>
          <w:b/>
          <w:sz w:val="32"/>
        </w:rPr>
        <w:br/>
        <w:t xml:space="preserve">Department: </w:t>
      </w:r>
      <w:r>
        <w:rPr>
          <w:b/>
          <w:sz w:val="32"/>
        </w:rPr>
        <w:t>Computer Science and Engineering</w:t>
      </w:r>
    </w:p>
    <w:p w14:paraId="2BD84B76" w14:textId="34181A74" w:rsidR="004D06B0" w:rsidRDefault="004D06B0" w:rsidP="004D06B0">
      <w:pPr>
        <w:keepLines/>
        <w:jc w:val="center"/>
        <w:rPr>
          <w:b/>
          <w:sz w:val="22"/>
        </w:rPr>
      </w:pPr>
      <w:r>
        <w:rPr>
          <w:b/>
          <w:sz w:val="22"/>
        </w:rPr>
        <w:t xml:space="preserve">Total </w:t>
      </w:r>
      <w:proofErr w:type="spellStart"/>
      <w:r>
        <w:rPr>
          <w:b/>
          <w:sz w:val="22"/>
        </w:rPr>
        <w:t>Appeared:</w:t>
      </w:r>
      <w:r>
        <w:rPr>
          <w:b/>
          <w:sz w:val="22"/>
        </w:rPr>
        <w:t>198</w:t>
      </w:r>
      <w:r>
        <w:rPr>
          <w:b/>
          <w:sz w:val="22"/>
        </w:rPr>
        <w:t xml:space="preserve"> No of FCD: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t>3</w:t>
      </w:r>
      <w:r>
        <w:rPr>
          <w:b/>
          <w:sz w:val="22"/>
        </w:rPr>
        <w:t xml:space="preserve"> of FC: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t>94</w:t>
      </w:r>
      <w:r>
        <w:rPr>
          <w:b/>
          <w:sz w:val="22"/>
        </w:rPr>
        <w:t xml:space="preserve">  No of SC: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t>32</w:t>
      </w:r>
      <w:r>
        <w:rPr>
          <w:b/>
          <w:sz w:val="22"/>
        </w:rPr>
        <w:t xml:space="preserve">  No of Pass: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t>191</w:t>
      </w:r>
      <w:r>
        <w:rPr>
          <w:b/>
          <w:sz w:val="22"/>
        </w:rPr>
        <w:t xml:space="preserve">  No of Failures:</w:t>
      </w:r>
      <w:r w:rsidRPr="004D06B0">
        <w:rPr>
          <w:b/>
          <w:sz w:val="22"/>
        </w:rPr>
        <w:t xml:space="preserve"> </w:t>
      </w:r>
      <w:r>
        <w:rPr>
          <w:b/>
          <w:sz w:val="22"/>
        </w:rPr>
        <w:t>7</w:t>
      </w:r>
      <w:r>
        <w:rPr>
          <w:b/>
          <w:sz w:val="22"/>
        </w:rPr>
        <w:t xml:space="preserve">  Pass</w:t>
      </w:r>
      <w:r w:rsidR="00D4547C">
        <w:rPr>
          <w:b/>
          <w:sz w:val="22"/>
        </w:rPr>
        <w:t xml:space="preserve"> </w:t>
      </w:r>
      <w:r>
        <w:rPr>
          <w:b/>
          <w:sz w:val="22"/>
        </w:rPr>
        <w:t>Percentage:</w:t>
      </w:r>
      <w:r w:rsidR="00D4547C">
        <w:rPr>
          <w:b/>
          <w:sz w:val="22"/>
        </w:rPr>
        <w:t xml:space="preserve"> </w:t>
      </w:r>
      <w:r>
        <w:rPr>
          <w:b/>
          <w:sz w:val="22"/>
        </w:rPr>
        <w:t>96.46</w:t>
      </w:r>
    </w:p>
    <w:tbl>
      <w:tblPr>
        <w:tblStyle w:val="TableGrid"/>
        <w:tblW w:w="1395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4536"/>
        <w:gridCol w:w="1247"/>
        <w:gridCol w:w="1134"/>
        <w:gridCol w:w="851"/>
        <w:gridCol w:w="851"/>
        <w:gridCol w:w="851"/>
        <w:gridCol w:w="1361"/>
      </w:tblGrid>
      <w:tr w:rsidR="00D4547C" w14:paraId="330BF6E9" w14:textId="77777777" w:rsidTr="006A7863">
        <w:trPr>
          <w:trHeight w:val="454"/>
          <w:jc w:val="center"/>
        </w:trPr>
        <w:tc>
          <w:tcPr>
            <w:tcW w:w="1134" w:type="dxa"/>
            <w:vMerge w:val="restart"/>
            <w:vAlign w:val="center"/>
          </w:tcPr>
          <w:p w14:paraId="0EEF219B" w14:textId="77777777" w:rsidR="00D4547C" w:rsidRDefault="00E85BFF" w:rsidP="00C314D4">
            <w:pPr>
              <w:keepLines/>
              <w:jc w:val="center"/>
            </w:pPr>
            <w:r>
              <w:t>Year</w:t>
            </w:r>
          </w:p>
          <w:p w14:paraId="5E580356" w14:textId="77777777" w:rsidR="00E85BFF" w:rsidRDefault="00192989" w:rsidP="00C314D4">
            <w:pPr>
              <w:keepLines/>
              <w:jc w:val="center"/>
            </w:pPr>
            <w:r>
              <w:t>2019</w:t>
            </w:r>
          </w:p>
          <w:p w14:paraId="02FD960A" w14:textId="73B3F340" w:rsidR="00E85BFF" w:rsidRDefault="00192989" w:rsidP="00C314D4">
            <w:pPr>
              <w:keepLines/>
              <w:jc w:val="center"/>
            </w:pPr>
            <w:r>
              <w:t>Odd</w:t>
            </w:r>
          </w:p>
        </w:tc>
        <w:tc>
          <w:tcPr>
            <w:tcW w:w="1985" w:type="dxa"/>
            <w:vAlign w:val="center"/>
          </w:tcPr>
          <w:p w14:paraId="5571A8A4" w14:textId="6613D2FC" w:rsidR="00D4547C" w:rsidRDefault="00D4547C" w:rsidP="00C314D4">
            <w:pPr>
              <w:keepLines/>
              <w:jc w:val="center"/>
            </w:pPr>
            <w:r>
              <w:t>S</w:t>
            </w:r>
            <w:r w:rsidRPr="00E85BFF">
              <w:rPr>
                <w:b/>
                <w:bCs/>
                <w:sz w:val="26"/>
                <w:szCs w:val="24"/>
              </w:rPr>
              <w:t>ubject Code</w:t>
            </w:r>
          </w:p>
        </w:tc>
        <w:tc>
          <w:tcPr>
            <w:tcW w:w="4536" w:type="dxa"/>
            <w:vAlign w:val="center"/>
          </w:tcPr>
          <w:p w14:paraId="045F7F77" w14:textId="6B1D3798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  <w:sz w:val="30"/>
                <w:szCs w:val="28"/>
              </w:rPr>
              <w:t>Teachers Name</w:t>
            </w:r>
          </w:p>
        </w:tc>
        <w:tc>
          <w:tcPr>
            <w:tcW w:w="1247" w:type="dxa"/>
            <w:vAlign w:val="center"/>
          </w:tcPr>
          <w:p w14:paraId="5EA9A137" w14:textId="218A95DD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Appeared</w:t>
            </w:r>
          </w:p>
        </w:tc>
        <w:tc>
          <w:tcPr>
            <w:tcW w:w="1134" w:type="dxa"/>
            <w:vAlign w:val="center"/>
          </w:tcPr>
          <w:p w14:paraId="435A164B" w14:textId="7004FB74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Failures</w:t>
            </w:r>
          </w:p>
        </w:tc>
        <w:tc>
          <w:tcPr>
            <w:tcW w:w="851" w:type="dxa"/>
            <w:vAlign w:val="center"/>
          </w:tcPr>
          <w:p w14:paraId="721621BF" w14:textId="41ECB878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FCD</w:t>
            </w:r>
          </w:p>
        </w:tc>
        <w:tc>
          <w:tcPr>
            <w:tcW w:w="851" w:type="dxa"/>
            <w:vAlign w:val="center"/>
          </w:tcPr>
          <w:p w14:paraId="561988CF" w14:textId="589115F8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FC</w:t>
            </w:r>
          </w:p>
        </w:tc>
        <w:tc>
          <w:tcPr>
            <w:tcW w:w="851" w:type="dxa"/>
            <w:vAlign w:val="center"/>
          </w:tcPr>
          <w:p w14:paraId="2CA240BF" w14:textId="3D6E5182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SC</w:t>
            </w:r>
          </w:p>
        </w:tc>
        <w:tc>
          <w:tcPr>
            <w:tcW w:w="1361" w:type="dxa"/>
            <w:vAlign w:val="center"/>
          </w:tcPr>
          <w:p w14:paraId="679AA72A" w14:textId="7060CDA6" w:rsidR="00D4547C" w:rsidRPr="00E85BFF" w:rsidRDefault="00D4547C" w:rsidP="00C314D4">
            <w:pPr>
              <w:keepLines/>
              <w:jc w:val="center"/>
              <w:rPr>
                <w:b/>
                <w:bCs/>
              </w:rPr>
            </w:pPr>
            <w:r w:rsidRPr="00E85BFF">
              <w:rPr>
                <w:b/>
                <w:bCs/>
              </w:rPr>
              <w:t>Pass Percentage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15CS61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12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61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60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50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93.94%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15CS62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44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17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45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77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77.78%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15CS63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25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40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66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53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87.37%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15CS64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19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55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55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54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90.40%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15CS653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10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97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40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32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94.95%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15CS661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26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24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56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85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86.87%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15CSL67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139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25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99.49%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15CSL68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152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16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13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100.00%</w:t>
            </w:r>
          </w:p>
        </w:tc>
      </w:tr>
      <w:tr w:rsidR="00C314D4" w14:paraId="2C097F19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7519B87B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76C743F6" w14:textId="40AE3BA1" w:rsidR="00C314D4" w:rsidRDefault="009F6FE3" w:rsidP="00C314D4">
            <w:pPr>
              <w:keepLines/>
              <w:jc w:val="center"/>
            </w:pPr>
            <w:r>
              <w:t>15CS651</w:t>
            </w:r>
          </w:p>
        </w:tc>
        <w:tc>
          <w:tcPr>
            <w:tcW w:w="4536" w:type="dxa"/>
            <w:vAlign w:val="center"/>
          </w:tcPr>
          <w:p w14:paraId="5587292E" w14:textId="00AB5CCA" w:rsidR="00C314D4" w:rsidRDefault="009F6FE3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3D43AA72" w14:textId="3B2A4E44" w:rsidR="00C314D4" w:rsidRDefault="009F6FE3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67EE9DFF" w14:textId="7661E2E7" w:rsidR="00C314D4" w:rsidRDefault="009F6FE3" w:rsidP="00C314D4">
            <w:pPr>
              <w:keepLines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48301D86" w14:textId="0634F610" w:rsidR="00C314D4" w:rsidRDefault="009F6FE3" w:rsidP="00C314D4">
            <w:pPr>
              <w:keepLines/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78E96801" w14:textId="10CADF42" w:rsidR="00C314D4" w:rsidRDefault="009F6FE3" w:rsidP="00C314D4">
            <w:pPr>
              <w:keepLines/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2D47F5C3" w14:textId="547175B5" w:rsidR="00C314D4" w:rsidRDefault="009F6FE3" w:rsidP="00C314D4">
            <w:pPr>
              <w:keepLines/>
              <w:jc w:val="center"/>
            </w:pPr>
            <w:r>
              <w:t>2</w:t>
            </w:r>
          </w:p>
        </w:tc>
        <w:tc>
          <w:tcPr>
            <w:tcW w:w="1361" w:type="dxa"/>
            <w:vAlign w:val="center"/>
          </w:tcPr>
          <w:p w14:paraId="3CABF602" w14:textId="495F81D7" w:rsidR="00C314D4" w:rsidRDefault="009F6FE3" w:rsidP="00C314D4">
            <w:pPr>
              <w:keepLines/>
              <w:jc w:val="center"/>
            </w:pPr>
            <w:r>
              <w:t>97.98%</w:t>
            </w:r>
          </w:p>
        </w:tc>
      </w:tr>
      <w:tr w:rsidR="00C314D4" w14:paraId="181B7CC0" w14:textId="77777777" w:rsidTr="006A7863">
        <w:trPr>
          <w:trHeight w:val="454"/>
          <w:jc w:val="center"/>
        </w:trPr>
        <w:tc>
          <w:tcPr>
            <w:tcW w:w="1134" w:type="dxa"/>
            <w:vMerge/>
            <w:vAlign w:val="center"/>
          </w:tcPr>
          <w:p w14:paraId="6D0C1DC3" w14:textId="77777777" w:rsidR="00C314D4" w:rsidRDefault="00C314D4" w:rsidP="00C314D4">
            <w:pPr>
              <w:keepLines/>
              <w:jc w:val="center"/>
            </w:pPr>
          </w:p>
        </w:tc>
        <w:tc>
          <w:tcPr>
            <w:tcW w:w="1985" w:type="dxa"/>
            <w:vAlign w:val="center"/>
          </w:tcPr>
          <w:p w14:paraId="04DEA8DF" w14:textId="07A7CACA" w:rsidR="00C314D4" w:rsidRDefault="00192989" w:rsidP="00C314D4">
            <w:pPr>
              <w:keepLines/>
              <w:jc w:val="center"/>
            </w:pPr>
            <w:r>
              <w:t>15CS664</w:t>
            </w:r>
          </w:p>
        </w:tc>
        <w:tc>
          <w:tcPr>
            <w:tcW w:w="4536" w:type="dxa"/>
            <w:vAlign w:val="center"/>
          </w:tcPr>
          <w:p w14:paraId="6D011D32" w14:textId="528B95B1" w:rsidR="00C314D4" w:rsidRDefault="00192989" w:rsidP="00C314D4">
            <w:pPr>
              <w:keepLines/>
              <w:jc w:val="center"/>
            </w:pPr>
            <w:r>
              <w:t>Placeholder for long string here</w:t>
            </w:r>
          </w:p>
        </w:tc>
        <w:tc>
          <w:tcPr>
            <w:tcW w:w="1247" w:type="dxa"/>
            <w:vAlign w:val="center"/>
          </w:tcPr>
          <w:p w14:paraId="5EC9EB1E" w14:textId="6E0DEF0A" w:rsidR="00C314D4" w:rsidRDefault="00192989" w:rsidP="00C314D4">
            <w:pPr>
              <w:keepLines/>
              <w:jc w:val="center"/>
            </w:pPr>
            <w:r>
              <w:t>198</w:t>
            </w:r>
          </w:p>
        </w:tc>
        <w:tc>
          <w:tcPr>
            <w:tcW w:w="1134" w:type="dxa"/>
            <w:vAlign w:val="center"/>
          </w:tcPr>
          <w:p w14:paraId="595A8AA3" w14:textId="32528312" w:rsidR="00C314D4" w:rsidRDefault="00192989" w:rsidP="00C314D4">
            <w:pPr>
              <w:keepLines/>
              <w:jc w:val="center"/>
            </w:pPr>
            <w:r>
              <w:t>4</w:t>
            </w:r>
          </w:p>
        </w:tc>
        <w:tc>
          <w:tcPr>
            <w:tcW w:w="851" w:type="dxa"/>
            <w:vAlign w:val="center"/>
          </w:tcPr>
          <w:p w14:paraId="018587C8" w14:textId="729D6F42" w:rsidR="00C314D4" w:rsidRDefault="00192989" w:rsidP="00C314D4">
            <w:pPr>
              <w:keepLines/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7AB6B1BC" w14:textId="0DF3E66B" w:rsidR="00C314D4" w:rsidRDefault="00192989" w:rsidP="00C314D4">
            <w:pPr>
              <w:keepLines/>
              <w:jc w:val="center"/>
            </w:pPr>
            <w:r>
              <w:t>0</w:t>
            </w:r>
          </w:p>
        </w:tc>
        <w:tc>
          <w:tcPr>
            <w:tcW w:w="851" w:type="dxa"/>
            <w:vAlign w:val="center"/>
          </w:tcPr>
          <w:p w14:paraId="4DCD6E56" w14:textId="65407CB3" w:rsidR="00C314D4" w:rsidRDefault="00192989" w:rsidP="00C314D4">
            <w:pPr>
              <w:keepLines/>
              <w:jc w:val="center"/>
            </w:pPr>
            <w:r>
              <w:t>0</w:t>
            </w:r>
          </w:p>
        </w:tc>
        <w:tc>
          <w:tcPr>
            <w:tcW w:w="1361" w:type="dxa"/>
            <w:vAlign w:val="center"/>
          </w:tcPr>
          <w:p w14:paraId="5D0EB3FB" w14:textId="183757AA" w:rsidR="00C314D4" w:rsidRDefault="00192989" w:rsidP="00C314D4">
            <w:pPr>
              <w:keepLines/>
              <w:jc w:val="center"/>
            </w:pPr>
            <w:r>
              <w:t>97.98%</w:t>
            </w:r>
          </w:p>
        </w:tc>
      </w:tr>
    </w:tbl>
    <w:p w14:paraId="1BBB97CE" w14:textId="4346C65D" w:rsidR="00D4547C" w:rsidRDefault="00D4547C" w:rsidP="004D06B0">
      <w:pPr>
        <w:keepLines/>
        <w:jc w:val="center"/>
      </w:pPr>
    </w:p>
    <w:p w14:paraId="0FBD6D1C" w14:textId="6EBEA3DD" w:rsidR="00673F2D" w:rsidRDefault="00673F2D"/>
    <w:sectPr w:rsidR="00673F2D" w:rsidSect="004D06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C746B" w14:textId="77777777" w:rsidR="009F6FE3" w:rsidRDefault="009F6FE3" w:rsidP="00343F4B">
      <w:pPr>
        <w:spacing w:after="0" w:line="240" w:lineRule="auto"/>
      </w:pPr>
      <w:r>
        <w:separator/>
      </w:r>
    </w:p>
  </w:endnote>
  <w:endnote w:type="continuationSeparator" w:id="0">
    <w:p w14:paraId="0DF0F2E9" w14:textId="77777777" w:rsidR="009F6FE3" w:rsidRDefault="009F6FE3" w:rsidP="00343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823DB" w14:textId="77777777" w:rsidR="009A4607" w:rsidRDefault="009A46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C362" w14:textId="1F0343F4" w:rsidR="009A4607" w:rsidRPr="009A4607" w:rsidRDefault="009A4607" w:rsidP="009A4607">
    <w:pPr>
      <w:pStyle w:val="Footer"/>
      <w:tabs>
        <w:tab w:val="clear" w:pos="4513"/>
        <w:tab w:val="clear" w:pos="9026"/>
        <w:tab w:val="left" w:pos="11482"/>
      </w:tabs>
      <w:rPr>
        <w:lang w:val="en-IN"/>
      </w:rPr>
    </w:pPr>
    <w:r w:rsidRPr="00804D26">
      <w:rPr>
        <w:b/>
        <w:bCs/>
        <w:lang w:val="en-IN"/>
      </w:rPr>
      <w:t xml:space="preserve">HOD </w:t>
    </w:r>
    <w:r>
      <w:rPr>
        <w:b/>
        <w:bCs/>
        <w:lang w:val="en-IN"/>
      </w:rPr>
      <w:t>CS</w:t>
    </w:r>
    <w:r>
      <w:rPr>
        <w:lang w:val="en-IN"/>
      </w:rPr>
      <w:tab/>
    </w:r>
    <w:r w:rsidRPr="00804D26">
      <w:rPr>
        <w:b/>
        <w:bCs/>
        <w:lang w:val="en-IN"/>
      </w:rPr>
      <w:t>PRINCIPAL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45996" w14:textId="77777777" w:rsidR="009A4607" w:rsidRDefault="009A46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6FA49" w14:textId="77777777" w:rsidR="009F6FE3" w:rsidRDefault="009F6FE3" w:rsidP="00343F4B">
      <w:pPr>
        <w:spacing w:after="0" w:line="240" w:lineRule="auto"/>
      </w:pPr>
      <w:r>
        <w:separator/>
      </w:r>
    </w:p>
  </w:footnote>
  <w:footnote w:type="continuationSeparator" w:id="0">
    <w:p w14:paraId="33BBE8B8" w14:textId="77777777" w:rsidR="009F6FE3" w:rsidRDefault="009F6FE3" w:rsidP="00343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709CC" w14:textId="77777777" w:rsidR="009A4607" w:rsidRDefault="009A46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B6A1F5" w14:textId="4DAEB67B" w:rsidR="00343F4B" w:rsidRDefault="00343F4B" w:rsidP="00343F4B">
    <w:pPr>
      <w:pStyle w:val="Header"/>
      <w:jc w:val="right"/>
    </w:pPr>
    <w:r>
      <w:rPr>
        <w:noProof/>
      </w:rPr>
      <w:drawing>
        <wp:inline distT="0" distB="0" distL="0" distR="0" wp14:anchorId="429B70F0" wp14:editId="21E95F91">
          <wp:extent cx="923925" cy="902927"/>
          <wp:effectExtent l="0" t="0" r="0" b="0"/>
          <wp:docPr id="1" name="Picture 1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hatsApp Image 2020-05-12 at 13.54.36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035" cy="9450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25E721" w14:textId="77777777" w:rsidR="009A4607" w:rsidRDefault="009A46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B0"/>
    <w:rsid w:val="00192989"/>
    <w:rsid w:val="00343F4B"/>
    <w:rsid w:val="004D06B0"/>
    <w:rsid w:val="00510D0C"/>
    <w:rsid w:val="00673F2D"/>
    <w:rsid w:val="006A7863"/>
    <w:rsid w:val="00804D26"/>
    <w:rsid w:val="009A4607"/>
    <w:rsid w:val="009F6FE3"/>
    <w:rsid w:val="00A077D7"/>
    <w:rsid w:val="00B80BC1"/>
    <w:rsid w:val="00C314D4"/>
    <w:rsid w:val="00D4547C"/>
    <w:rsid w:val="00E85BFF"/>
    <w:rsid w:val="00F5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BE45B"/>
  <w15:chartTrackingRefBased/>
  <w15:docId w15:val="{73D58147-2DAC-46B4-9BCF-9AB0D9E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6B0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4B"/>
    <w:rPr>
      <w:rFonts w:ascii="Times New Roman" w:eastAsiaTheme="minorEastAsia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3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4B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135D2-F2DB-4DDC-8727-B66A90DC0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</dc:creator>
  <cp:keywords/>
  <dc:description/>
  <cp:lastModifiedBy>Xavier</cp:lastModifiedBy>
  <cp:revision>7</cp:revision>
  <dcterms:created xsi:type="dcterms:W3CDTF">2020-05-12T09:07:00Z</dcterms:created>
  <dcterms:modified xsi:type="dcterms:W3CDTF">2020-05-12T11:07:00Z</dcterms:modified>
</cp:coreProperties>
</file>