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jc w:val="center"/>
      </w:pPr>
      <w:r>
        <w:rPr>
          <w:b/>
          <w:bCs/>
          <w:color w:val="1F4E79"/>
          <w:sz w:val="56"/>
          <w:szCs w:val="56"/>
        </w:rPr>
        <w:t xml:space="preserve">AUTODEPLOY</w:t>
      </w:r>
    </w:p>
    <w:p>
      <w:pPr>
        <w:spacing w:after="240"/>
        <w:jc w:val="center"/>
      </w:pPr>
      <w:r>
        <w:rPr>
          <w:color w:val="595959"/>
          <w:sz w:val="40"/>
          <w:szCs w:val="40"/>
        </w:rPr>
        <w:t xml:space="preserve">Remote Deployment Centre</w:t>
      </w:r>
    </w:p>
    <w:p>
      <w:pPr>
        <w:pBdr>
          <w:top w:val="single" w:color="2E75B6" w:sz="6" w:space="8"/>
          <w:bottom w:val="single" w:color="2E75B6" w:sz="6" w:space="8"/>
        </w:pBdr>
        <w:spacing w:after="240" w:before="120"/>
        <w:jc w:val="center"/>
      </w:pPr>
      <w:r>
        <w:rPr>
          <w:b/>
          <w:bCs/>
          <w:sz w:val="32"/>
          <w:szCs w:val="32"/>
        </w:rPr>
        <w:t xml:space="preserve">Software Design Document</w:t>
      </w:r>
    </w:p>
    <w:p>
      <w:pPr>
        <w:spacing w:after="60"/>
        <w:jc w:val="center"/>
      </w:pPr>
      <w:r>
        <w:rPr>
          <w:i/>
          <w:iCs/>
          <w:color w:val="595959"/>
          <w:sz w:val="24"/>
          <w:szCs w:val="24"/>
        </w:rPr>
        <w:t xml:space="preserve">A unified replacement for WDS, MDT, SCCM and FOG</w:t>
      </w:r>
    </w:p>
    <w:p>
      <w:pPr>
        <w:spacing w:after="40" w:before="2400"/>
        <w:jc w:val="center"/>
      </w:pPr>
      <w:r>
        <w:rPr>
          <w:sz w:val="22"/>
          <w:szCs w:val="22"/>
        </w:rPr>
        <w:t xml:space="preserve">Version 0.1 — Draft for Review</w:t>
      </w:r>
    </w:p>
    <w:p>
      <w:pPr>
        <w:spacing w:after="40"/>
        <w:jc w:val="center"/>
      </w:pPr>
      <w:r>
        <w:rPr>
          <w:color w:val="595959"/>
          <w:sz w:val="22"/>
          <w:szCs w:val="22"/>
        </w:rPr>
        <w:t xml:space="preserve">28 May 2026</w:t>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Introduction</w:t>
      </w:r>
    </w:p>
    <w:p>
      <w:pPr>
        <w:pStyle w:val="Heading2"/>
      </w:pPr>
      <w:r>
        <w:t xml:space="preserve">1.1 Purpose</w:t>
      </w:r>
    </w:p>
    <w:p>
      <w:pPr>
        <w:spacing w:after="120" w:line="276"/>
      </w:pPr>
      <w:r>
        <w:t xml:space="preserve">This document describes the design of AutoDeploy, a remote operating-system deployment and configuration platform. AutoDeploy is intended to replace the combination of tools currently used to provision Windows machines — Windows Deployment Services (WDS), the Microsoft Deployment Toolkit (MDT), System Center Configuration Manager (SCCM) and FOG — with a single, coherent system built around HTTP-based delivery and a web management portal.</w:t>
      </w:r>
    </w:p>
    <w:p>
      <w:pPr>
        <w:spacing w:after="120" w:line="276"/>
      </w:pPr>
      <w:r>
        <w:t xml:space="preserve">The document defines the system's scope, architecture, component responsibilities, data model, the end-to-end deployment lifecycle, and the security model. It is written as a single reference for the engineering team and is expected to evolve; open questions and deferred decisions are recorded in Section 15.</w:t>
      </w:r>
    </w:p>
    <w:p>
      <w:pPr>
        <w:pStyle w:val="Heading2"/>
      </w:pPr>
      <w:r>
        <w:t xml:space="preserve">1.2 What AutoDeploy Replaces</w:t>
      </w:r>
    </w:p>
    <w:p>
      <w:pPr>
        <w:spacing w:after="120" w:line="276"/>
      </w:pPr>
      <w:r>
        <w:t xml:space="preserve">Each of the four incumbent tools owns part of the provisioning problem. AutoDeploy consolidates those responsibilities into one platform. The table below summarises what is being absorbed from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Incumbent tool</w:t>
            </w:r>
          </w:p>
        </w:tc>
        <w:tc>
          <w:tcPr>
            <w:tcW w:type="dxa" w:w="40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Responsibility today</w:t>
            </w:r>
          </w:p>
        </w:tc>
        <w:tc>
          <w:tcPr>
            <w:tcW w:type="dxa" w:w="34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Absorbed by AutoDeploy component</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WDS</w:t>
            </w:r>
          </w:p>
        </w:tc>
        <w:tc>
          <w:tcPr>
            <w:tcW w:type="dxa" w:w="40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PXE boot service and image transport over TFTP/multicast</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Boot Client + Deployment Service (HTTP transport)</w:t>
            </w:r>
          </w:p>
        </w:tc>
      </w:tr>
      <w:tr>
        <w:trPr>
          <w:tblHeader w:val="false"/>
        </w:trPr>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MDT</w:t>
            </w:r>
          </w:p>
        </w:tc>
        <w:tc>
          <w:tcPr>
            <w:tcW w:type="dxa" w:w="40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Task sequences, unattend generation, driver injection</w:t>
            </w:r>
          </w:p>
        </w:tc>
        <w:tc>
          <w:tcPr>
            <w:tcW w:type="dxa" w:w="34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Unattend objects, Deployment Client, driver matching</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SCCM</w:t>
            </w:r>
          </w:p>
        </w:tc>
        <w:tc>
          <w:tcPr>
            <w:tcW w:type="dxa" w:w="40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Application deployment, detection logic, inventory, lifecycle</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Software Packages, Loadouts, Deployment Client, Inventory</w:t>
            </w:r>
          </w:p>
        </w:tc>
      </w:tr>
      <w:tr>
        <w:trPr>
          <w:tblHeader w:val="false"/>
        </w:trPr>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FOG</w:t>
            </w:r>
          </w:p>
        </w:tc>
        <w:tc>
          <w:tcPr>
            <w:tcW w:type="dxa" w:w="40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Open-source PXE imaging and disk capture/apply</w:t>
            </w:r>
          </w:p>
        </w:tc>
        <w:tc>
          <w:tcPr>
            <w:tcW w:type="dxa" w:w="34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Boot Client (Linux/iPXE) + image apply via wimlib</w:t>
            </w:r>
          </w:p>
        </w:tc>
      </w:tr>
    </w:tbl>
    <w:p>
      <w:pPr>
        <w:pStyle w:val="Heading2"/>
      </w:pPr>
      <w: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Term</w:t>
            </w:r>
          </w:p>
        </w:tc>
        <w:tc>
          <w:tcPr>
            <w:tcW w:type="dxa" w:w="69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Meaning</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PXE</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Preboot Execution Environment — network boot of a machine before any local OS loads.</w:t>
            </w:r>
          </w:p>
        </w:tc>
      </w:tr>
      <w:tr>
        <w:trPr>
          <w:tblHeader w:val="false"/>
        </w:trPr>
        <w:tc>
          <w:tcPr>
            <w:tcW w:type="dxa" w:w="24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iPXE</w:t>
            </w:r>
          </w:p>
        </w:tc>
        <w:tc>
          <w:tcPr>
            <w:tcW w:type="dxa" w:w="69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Open-source network boot firmware supporting HTTP(S) chainloading.</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SMBIOS / DMI</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Firmware tables exposing hardware identity (manufacturer, model, serial, etc.).</w:t>
            </w:r>
          </w:p>
        </w:tc>
      </w:tr>
      <w:tr>
        <w:trPr>
          <w:tblHeader w:val="false"/>
        </w:trPr>
        <w:tc>
          <w:tcPr>
            <w:tcW w:type="dxa" w:w="24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WIM / ESD</w:t>
            </w:r>
          </w:p>
        </w:tc>
        <w:tc>
          <w:tcPr>
            <w:tcW w:type="dxa" w:w="69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Microsoft's file-based Windows image formats, applied with wimlib.</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Unattend</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An answer file (unattend.xml) that drives unattended Windows setup.</w:t>
            </w:r>
          </w:p>
        </w:tc>
      </w:tr>
      <w:tr>
        <w:trPr>
          <w:tblHeader w:val="false"/>
        </w:trPr>
        <w:tc>
          <w:tcPr>
            <w:tcW w:type="dxa" w:w="24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Loadout</w:t>
            </w:r>
          </w:p>
        </w:tc>
        <w:tc>
          <w:tcPr>
            <w:tcW w:type="dxa" w:w="69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 named, ordered collection of software packages, supporting inheritance.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Binding</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The persisted association of a machine to its assigned image configuration.</w:t>
            </w:r>
          </w:p>
        </w:tc>
      </w:tr>
      <w:tr>
        <w:trPr>
          <w:tblHeader w:val="false"/>
        </w:trPr>
        <w:tc>
          <w:tcPr>
            <w:tcW w:type="dxa" w:w="24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Agent / Deployment Client</w:t>
            </w:r>
          </w:p>
        </w:tc>
        <w:tc>
          <w:tcPr>
            <w:tcW w:type="dxa" w:w="69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The in-OS component that runs install steps and reports inventory.</w:t>
            </w:r>
          </w:p>
        </w:tc>
      </w:tr>
    </w:tbl>
    <w:p>
      <w:pPr>
        <w:pStyle w:val="Heading1"/>
      </w:pPr>
      <w:r>
        <w:t xml:space="preserve">2. Goals and Non-Goals</w:t>
      </w:r>
    </w:p>
    <w:p>
      <w:pPr>
        <w:pStyle w:val="Heading2"/>
      </w:pPr>
      <w:r>
        <w:t xml:space="preserve">2.1 Goals</w:t>
      </w:r>
    </w:p>
    <w:p>
      <w:pPr>
        <w:pStyle w:val="ListParagraph"/>
        <w:numPr>
          <w:ilvl w:val="0"/>
          <w:numId w:val="2"/>
        </w:numPr>
        <w:spacing w:after="60" w:line="276"/>
      </w:pPr>
      <w:r>
        <w:t xml:space="preserve">Provide a single web portal to define and manage everything needed to image and configure a machine.</w:t>
      </w:r>
    </w:p>
    <w:p>
      <w:pPr>
        <w:pStyle w:val="ListParagraph"/>
        <w:numPr>
          <w:ilvl w:val="0"/>
          <w:numId w:val="2"/>
        </w:numPr>
        <w:spacing w:after="60" w:line="276"/>
      </w:pPr>
      <w:r>
        <w:t xml:space="preserve">Deliver all deployment payloads — images, answer files, drivers, software — over HTTP(S), removing the TFTP and layer-2 dependencies that tie classic PXE to the local network.</w:t>
      </w:r>
    </w:p>
    <w:p>
      <w:pPr>
        <w:pStyle w:val="ListParagraph"/>
        <w:numPr>
          <w:ilvl w:val="0"/>
          <w:numId w:val="2"/>
        </w:numPr>
        <w:spacing w:after="60" w:line="276"/>
      </w:pPr>
      <w:r>
        <w:t xml:space="preserve">Boot targets with a lightweight, identity-aware client that reads hardware identity from firmware before any OS is laid down.</w:t>
      </w:r>
    </w:p>
    <w:p>
      <w:pPr>
        <w:pStyle w:val="ListParagraph"/>
        <w:numPr>
          <w:ilvl w:val="0"/>
          <w:numId w:val="2"/>
        </w:numPr>
        <w:spacing w:after="60" w:line="276"/>
      </w:pPr>
      <w:r>
        <w:t xml:space="preserve">Match driver packages to hardware automatically using firmware (SMBIOS) attributes.</w:t>
      </w:r>
    </w:p>
    <w:p>
      <w:pPr>
        <w:pStyle w:val="ListParagraph"/>
        <w:numPr>
          <w:ilvl w:val="0"/>
          <w:numId w:val="2"/>
        </w:numPr>
        <w:spacing w:after="60" w:line="276"/>
      </w:pPr>
      <w:r>
        <w:t xml:space="preserve">Generate unattended answer files from configuration rather than hand-edited XML.</w:t>
      </w:r>
    </w:p>
    <w:p>
      <w:pPr>
        <w:pStyle w:val="ListParagraph"/>
        <w:numPr>
          <w:ilvl w:val="0"/>
          <w:numId w:val="2"/>
        </w:numPr>
        <w:spacing w:after="60" w:line="276"/>
      </w:pPr>
      <w:r>
        <w:t xml:space="preserve">Model software the way SCCM does — packages with detection rules and ordered install steps, grouped into reusable, inheritable loadouts.</w:t>
      </w:r>
    </w:p>
    <w:p>
      <w:pPr>
        <w:pStyle w:val="ListParagraph"/>
        <w:numPr>
          <w:ilvl w:val="0"/>
          <w:numId w:val="2"/>
        </w:numPr>
        <w:spacing w:after="60" w:line="276"/>
      </w:pPr>
      <w:r>
        <w:t xml:space="preserve">Maintain an inventory of every deployed machine, including the configuration it is bound to, to enable one-click re-imaging.</w:t>
      </w:r>
    </w:p>
    <w:p>
      <w:pPr>
        <w:pStyle w:val="ListParagraph"/>
        <w:numPr>
          <w:ilvl w:val="0"/>
          <w:numId w:val="2"/>
        </w:numPr>
        <w:spacing w:after="60" w:line="276"/>
      </w:pPr>
      <w:r>
        <w:t xml:space="preserve">Integrate with Active Directory for domain join and computer-object lifecycle, where AD is in use.</w:t>
      </w:r>
    </w:p>
    <w:p>
      <w:pPr>
        <w:pStyle w:val="ListParagraph"/>
        <w:numPr>
          <w:ilvl w:val="0"/>
          <w:numId w:val="2"/>
        </w:numPr>
        <w:spacing w:after="60" w:line="276"/>
      </w:pPr>
      <w:r>
        <w:t xml:space="preserve">Protect the deployment system from unauthorised use with an optional access PIN.</w:t>
      </w:r>
    </w:p>
    <w:p>
      <w:pPr>
        <w:pStyle w:val="ListParagraph"/>
        <w:numPr>
          <w:ilvl w:val="0"/>
          <w:numId w:val="2"/>
        </w:numPr>
        <w:spacing w:after="60" w:line="276"/>
      </w:pPr>
      <w:r>
        <w:t xml:space="preserve">Apply a consistent, system-wide organisational brand across the portal, the boot screen and deployed machines.</w:t>
      </w:r>
    </w:p>
    <w:p>
      <w:pPr>
        <w:pStyle w:val="ListParagraph"/>
        <w:numPr>
          <w:ilvl w:val="0"/>
          <w:numId w:val="2"/>
        </w:numPr>
        <w:spacing w:after="60" w:line="276"/>
      </w:pPr>
      <w:r>
        <w:t xml:space="preserve">Manage already-deployed machines in bulk through a resident agent — renaming, pushing software and running scripts against sets of machines selected from Active Directory.</w:t>
      </w:r>
    </w:p>
    <w:p>
      <w:pPr>
        <w:pStyle w:val="ListParagraph"/>
        <w:numPr>
          <w:ilvl w:val="0"/>
          <w:numId w:val="2"/>
        </w:numPr>
        <w:spacing w:after="60" w:line="276"/>
      </w:pPr>
      <w:r>
        <w:t xml:space="preserve">Optionally encrypt the OS volume with BitLocker, preserving the user's pre-boot PIN across re-imaging.</w:t>
      </w:r>
    </w:p>
    <w:p>
      <w:pPr>
        <w:pStyle w:val="Heading2"/>
      </w:pPr>
      <w:r>
        <w:t xml:space="preserve">2.2 Non-Goals</w:t>
      </w:r>
    </w:p>
    <w:p>
      <w:pPr>
        <w:pStyle w:val="ListParagraph"/>
        <w:numPr>
          <w:ilvl w:val="0"/>
          <w:numId w:val="2"/>
        </w:numPr>
        <w:spacing w:after="60" w:line="276"/>
      </w:pPr>
      <w:r>
        <w:t xml:space="preserve">AutoDeploy does not aim to be a general-purpose patching or compliance suite. It does provide ongoing post-deployment management through a resident agent (bulk rename, software push and script execution — see Section 13), but it is not a substitute for a full patch-management product.</w:t>
      </w:r>
    </w:p>
    <w:p>
      <w:pPr>
        <w:pStyle w:val="ListParagraph"/>
        <w:numPr>
          <w:ilvl w:val="0"/>
          <w:numId w:val="2"/>
        </w:numPr>
        <w:spacing w:after="60" w:line="276"/>
      </w:pPr>
      <w:r>
        <w:t xml:space="preserve">Block-level disk cloning (FOG's capture model) is not a goal; AutoDeploy applies file-based Windows images (WIM/ESD).</w:t>
      </w:r>
    </w:p>
    <w:p>
      <w:pPr>
        <w:pStyle w:val="ListParagraph"/>
        <w:numPr>
          <w:ilvl w:val="0"/>
          <w:numId w:val="2"/>
        </w:numPr>
        <w:spacing w:after="60" w:line="276"/>
      </w:pPr>
      <w:r>
        <w:t xml:space="preserve">macOS and Linux target imaging are out of scope for the initial release, though the architecture should not preclude them.</w:t>
      </w:r>
    </w:p>
    <w:p>
      <w:pPr>
        <w:pStyle w:val="ListParagraph"/>
        <w:numPr>
          <w:ilvl w:val="0"/>
          <w:numId w:val="2"/>
        </w:numPr>
        <w:spacing w:after="60" w:line="276"/>
      </w:pPr>
      <w:r>
        <w:t xml:space="preserve">AutoDeploy is not a software-authoring tool; it deploys installers that already exist, it does not build them.</w:t>
      </w:r>
    </w:p>
    <w:p>
      <w:pPr>
        <w:pStyle w:val="Heading1"/>
      </w:pPr>
      <w:r>
        <w:t xml:space="preserve">3. Architecture Overview</w:t>
      </w:r>
    </w:p>
    <w:p>
      <w:pPr>
        <w:spacing w:after="120" w:line="276"/>
      </w:pPr>
      <w:r>
        <w:t xml:space="preserve">AutoDeploy is composed of a server side — a management application with a web portal, an HTTP API and a set of supporting services — and two client-side components that run on the target machine at different stages: the Boot Client (pre-OS, Linux-based) and the Deployment Client (in-OS agent). All client-server communication is over HTTP(S); the API is the single point of authority for every decision the clients make.</w:t>
      </w:r>
    </w:p>
    <w:p>
      <w:pPr>
        <w:pStyle w:val="Heading2"/>
      </w:pPr>
      <w: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Component</w:t>
            </w:r>
          </w:p>
        </w:tc>
        <w:tc>
          <w:tcPr>
            <w:tcW w:type="dxa" w:w="19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Runs where</w:t>
            </w:r>
          </w:p>
        </w:tc>
        <w:tc>
          <w:tcPr>
            <w:tcW w:type="dxa" w:w="51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Responsibility</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Management Portal</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Server (web UI)</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Define ISOs, unattends, drivers, software packages, loadouts and images; manage bindings and inventory.</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HTTP API</w:t>
            </w:r>
          </w:p>
        </w:tc>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Server</w:t>
            </w:r>
          </w:p>
        </w:tc>
        <w:tc>
          <w:tcPr>
            <w:tcW w:type="dxa" w:w="51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Authoritative endpoint for the clients: authorises access, resolves configuration, serves payloads, receives inventory.</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Deployment Service</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Server</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Stores and serves image/driver/software payloads over HTTP; resolves the effective configuration for a machine.</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Domain Integration Service</w:t>
            </w:r>
          </w:p>
        </w:tc>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Server</w:t>
            </w:r>
          </w:p>
        </w:tc>
        <w:tc>
          <w:tcPr>
            <w:tcW w:type="dxa" w:w="51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Performs AD computer-object lifecycle and group membership using a service account.</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Boot Client</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Target, pre-OS</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iPXE-chainloaded Linux environment; reads SMBIOS, authorises, presents the menu, applies the image, injects drivers, places the unattend.</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Deployment Client (Agent)</w:t>
            </w:r>
          </w:p>
        </w:tc>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Target, in-OS</w:t>
            </w:r>
          </w:p>
        </w:tc>
        <w:tc>
          <w:tcPr>
            <w:tcW w:type="dxa" w:w="51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Resident, silent agent: runs ordered software install steps at deploy time, then checks in to execute queued bulk jobs, manages BitLocker, and reports inventory.</w:t>
            </w:r>
          </w:p>
        </w:tc>
      </w:tr>
    </w:tbl>
    <w:p>
      <w:pPr>
        <w:pStyle w:val="Heading2"/>
      </w:pPr>
      <w:r>
        <w:t xml:space="preserve">3.2 Design Principles</w:t>
      </w:r>
    </w:p>
    <w:p>
      <w:pPr>
        <w:spacing w:after="120" w:line="276"/>
      </w:pPr>
      <w:r>
        <w:rPr>
          <w:b/>
          <w:bCs/>
        </w:rPr>
        <w:t xml:space="preserve">HTTP everywhere. </w:t>
      </w:r>
      <w:r>
        <w:t xml:space="preserve">Classic PXE relies on TFTP and broadcast traffic that does not route well and is slow. AutoDeploy chainloads via iPXE and pulls every payload over HTTP(S), which is fast, routable and makes remote deployment across sites feasible.</w:t>
      </w:r>
    </w:p>
    <w:p>
      <w:pPr>
        <w:spacing w:after="120" w:line="276"/>
      </w:pPr>
      <w:r>
        <w:rPr>
          <w:b/>
          <w:bCs/>
        </w:rPr>
        <w:t xml:space="preserve">The server decides; the client executes. </w:t>
      </w:r>
      <w:r>
        <w:t xml:space="preserve">All resolution — which ISO, which unattend, which drivers, which software, whether access is permitted — happens server-side. The Boot Client reports facts (hardware identity, an entered PIN) and acts on instructions. Nothing security-relevant is decided on the client.</w:t>
      </w:r>
    </w:p>
    <w:p>
      <w:pPr>
        <w:spacing w:after="120" w:line="276"/>
      </w:pPr>
      <w:r>
        <w:rPr>
          <w:b/>
          <w:bCs/>
        </w:rPr>
        <w:t xml:space="preserve">Artifacts are standalone and reusable. </w:t>
      </w:r>
      <w:r>
        <w:t xml:space="preserve">ISOs, unattends, driver packages and software packages are first-class objects created and versioned independently. Images compose them by reference, so one artifact serves many images.</w:t>
      </w:r>
    </w:p>
    <w:p>
      <w:pPr>
        <w:spacing w:after="120" w:line="276"/>
      </w:pPr>
      <w:r>
        <w:rPr>
          <w:b/>
          <w:bCs/>
        </w:rPr>
        <w:t xml:space="preserve">Identity comes from firmware. </w:t>
      </w:r>
      <w:r>
        <w:t xml:space="preserve">Hardware identity is read from SMBIOS/DMI in the pre-boot environment, so it is available the instant the client boots — with no dependency on a running OS or on Windows-only tooling.</w:t>
      </w:r>
    </w:p>
    <w:p>
      <w:pPr>
        <w:spacing w:after="120" w:line="276"/>
      </w:pPr>
      <w:r>
        <w:rPr>
          <w:b/>
          <w:bCs/>
        </w:rPr>
        <w:t xml:space="preserve">Fail safe. </w:t>
      </w:r>
      <w:r>
        <w:t xml:space="preserve">When access control denies or a machine should not be imaged, the safe outcome is that the machine simply boots its existing OS — never that imaging proceeds unauthorised.</w:t>
      </w:r>
    </w:p>
    <w:p>
      <w:pPr>
        <w:pStyle w:val="Heading1"/>
      </w:pPr>
      <w:r>
        <w:t xml:space="preserve">4. Deployment Lifecycle</w:t>
      </w:r>
    </w:p>
    <w:p>
      <w:pPr>
        <w:spacing w:after="120" w:line="276"/>
      </w:pPr>
      <w:r>
        <w:t xml:space="preserve">This section describes the end-to-end flow of a deployment, from the moment a target machine network boots to the point where it is fully configured and recorded in inventory. It is the spine of the system; the component and data-model sections that follow elaborate on the steps named here.</w:t>
      </w:r>
    </w:p>
    <w:p>
      <w:pPr>
        <w:pStyle w:val="Heading2"/>
      </w:pPr>
      <w:r>
        <w:t xml:space="preserve">4.1 End-to-End Flow</w:t>
      </w:r>
    </w:p>
    <w:p>
      <w:pPr>
        <w:pStyle w:val="ListParagraph"/>
        <w:numPr>
          <w:ilvl w:val="0"/>
          <w:numId w:val="3"/>
        </w:numPr>
        <w:spacing w:after="60" w:line="276"/>
      </w:pPr>
      <w:r>
        <w:t xml:space="preserve">The target machine network-boots and chainloads the Boot Client over HTTP via iPXE.</w:t>
      </w:r>
    </w:p>
    <w:p>
      <w:pPr>
        <w:pStyle w:val="ListParagraph"/>
        <w:numPr>
          <w:ilvl w:val="0"/>
          <w:numId w:val="3"/>
        </w:numPr>
        <w:spacing w:after="60" w:line="276"/>
      </w:pPr>
      <w:r>
        <w:t xml:space="preserve">The Boot Client reads hardware identity from SMBIOS/DMI — system manufacturer, model, serial and UUID, plus BIOS and baseboard details.</w:t>
      </w:r>
    </w:p>
    <w:p>
      <w:pPr>
        <w:pStyle w:val="ListParagraph"/>
        <w:numPr>
          <w:ilvl w:val="0"/>
          <w:numId w:val="3"/>
        </w:numPr>
        <w:spacing w:after="60" w:line="276"/>
      </w:pPr>
      <w:r>
        <w:t xml:space="preserve">If the global access PIN is enabled, the client prompts for it and submits each attempt to the API for validation. Three failed attempts cause the client to exit and boot the machine normally.</w:t>
      </w:r>
    </w:p>
    <w:p>
      <w:pPr>
        <w:pStyle w:val="ListParagraph"/>
        <w:numPr>
          <w:ilvl w:val="0"/>
          <w:numId w:val="3"/>
        </w:numPr>
        <w:spacing w:after="60" w:line="276"/>
      </w:pPr>
      <w:r>
        <w:t xml:space="preserve">Once access is granted, the client requests the deployment menu. The API returns the catalogue of deployable image configurations; if the machine's identity matches an inventory record, a “re-image this machine” option is included.</w:t>
      </w:r>
    </w:p>
    <w:p>
      <w:pPr>
        <w:pStyle w:val="ListParagraph"/>
        <w:numPr>
          <w:ilvl w:val="0"/>
          <w:numId w:val="3"/>
        </w:numPr>
        <w:spacing w:after="60" w:line="276"/>
      </w:pPr>
      <w:r>
        <w:t xml:space="preserve">The operator selects a configuration (or the re-image option). The client submits the selection together with the hardware identity.</w:t>
      </w:r>
    </w:p>
    <w:p>
      <w:pPr>
        <w:pStyle w:val="ListParagraph"/>
        <w:numPr>
          <w:ilvl w:val="0"/>
          <w:numId w:val="3"/>
        </w:numPr>
        <w:spacing w:after="60" w:line="276"/>
      </w:pPr>
      <w:r>
        <w:t xml:space="preserve">The server resolves the effective configuration: the image's ISO and unattend (nearest-wins up the inheritance chain), every driver package whose filters match the hardware, and the effective software set (loadout chain plus directly linked packages).</w:t>
      </w:r>
    </w:p>
    <w:p>
      <w:pPr>
        <w:pStyle w:val="ListParagraph"/>
        <w:numPr>
          <w:ilvl w:val="0"/>
          <w:numId w:val="3"/>
        </w:numPr>
        <w:spacing w:after="60" w:line="276"/>
      </w:pPr>
      <w:r>
        <w:t xml:space="preserve">The Boot Client pulls the resolved payloads over HTTP: the WIM/ESD from the ISO, the matched driver packages and the generated unattend file.</w:t>
      </w:r>
    </w:p>
    <w:p>
      <w:pPr>
        <w:pStyle w:val="ListParagraph"/>
        <w:numPr>
          <w:ilvl w:val="0"/>
          <w:numId w:val="3"/>
        </w:numPr>
        <w:spacing w:after="60" w:line="276"/>
      </w:pPr>
      <w:r>
        <w:t xml:space="preserve">The client partitions the disk and applies the image with wimlib, injects the matched drivers into the applied image, and writes the unattend file into place.</w:t>
      </w:r>
    </w:p>
    <w:p>
      <w:pPr>
        <w:pStyle w:val="ListParagraph"/>
        <w:numPr>
          <w:ilvl w:val="0"/>
          <w:numId w:val="3"/>
        </w:numPr>
        <w:spacing w:after="60" w:line="276"/>
      </w:pPr>
      <w:r>
        <w:t xml:space="preserve">If AD integration is enabled for the configuration, the Domain Integration Service prepares the computer object (see Section 8) so the machine can join on first boot.</w:t>
      </w:r>
    </w:p>
    <w:p>
      <w:pPr>
        <w:pStyle w:val="ListParagraph"/>
        <w:numPr>
          <w:ilvl w:val="0"/>
          <w:numId w:val="3"/>
        </w:numPr>
        <w:spacing w:after="60" w:line="276"/>
      </w:pPr>
      <w:r>
        <w:t xml:space="preserve">The machine reboots into Windows, which runs unattended setup driven by the answer file and installs the Deployment Client.</w:t>
      </w:r>
    </w:p>
    <w:p>
      <w:pPr>
        <w:pStyle w:val="ListParagraph"/>
        <w:numPr>
          <w:ilvl w:val="0"/>
          <w:numId w:val="3"/>
        </w:numPr>
        <w:spacing w:after="60" w:line="276"/>
      </w:pPr>
      <w:r>
        <w:t xml:space="preserve">The Deployment Client executes the software install steps in order, evaluating each package's detection rules, then reports the result and the machine's inventory back to the API.</w:t>
      </w:r>
    </w:p>
    <w:p>
      <w:pPr>
        <w:pStyle w:val="ListParagraph"/>
        <w:numPr>
          <w:ilvl w:val="0"/>
          <w:numId w:val="3"/>
        </w:numPr>
        <w:spacing w:after="60" w:line="276"/>
      </w:pPr>
      <w:r>
        <w:t xml:space="preserve">The server records or updates the machine's binding and writes a dated deployment record to inventory.</w:t>
      </w:r>
    </w:p>
    <w:p>
      <w:pPr>
        <w:pStyle w:val="Heading2"/>
      </w:pPr>
      <w:r>
        <w:t xml:space="preserve">4.2 The Resolution Step</w:t>
      </w:r>
    </w:p>
    <w:p>
      <w:pPr>
        <w:spacing w:after="120" w:line="276"/>
      </w:pPr>
      <w:r>
        <w:t xml:space="preserve">Step 6 above is where most of the system's logic lives. Given a selected image and a set of hardware attributes, the server produces a single concrete recipe. The rules differ per artifact type and are stated precisely here because they are easy to misread: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Artifact</w:t>
            </w:r>
          </w:p>
        </w:tc>
        <w:tc>
          <w:tcPr>
            <w:tcW w:type="dxa" w:w="76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Resolution rule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ISO</w:t>
            </w:r>
          </w:p>
        </w:tc>
        <w:tc>
          <w:tcPr>
            <w:tcW w:type="dxa" w:w="76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Nearest-wins. Walk the image's parent chain from the selected image upward; the first image that links an ISO supplies it.</w:t>
            </w:r>
          </w:p>
        </w:tc>
      </w:tr>
      <w:tr>
        <w:trPr>
          <w:tblHeader w:val="false"/>
        </w:trPr>
        <w:tc>
          <w:tcPr>
            <w:tcW w:type="dxa" w:w="17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Unattend</w:t>
            </w:r>
          </w:p>
        </w:tc>
        <w:tc>
          <w:tcPr>
            <w:tcW w:type="dxa" w:w="76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Nearest-wins, used in full. The nearest linked unattend object up the chain is the effective answer file; it is not merged with ancestors, so each unattend must be complete on its own.</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Driver packages</w:t>
            </w:r>
          </w:p>
        </w:tc>
        <w:tc>
          <w:tcPr>
            <w:tcW w:type="dxa" w:w="76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All matches apply. Every driver package in the system whose filters match the reported hardware is injected, independent of the image chain.</w:t>
            </w:r>
          </w:p>
        </w:tc>
      </w:tr>
      <w:tr>
        <w:trPr>
          <w:tblHeader w:val="false"/>
        </w:trPr>
        <w:tc>
          <w:tcPr>
            <w:tcW w:type="dxa" w:w="17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Software</w:t>
            </w:r>
          </w:p>
        </w:tc>
        <w:tc>
          <w:tcPr>
            <w:tcW w:type="dxa" w:w="76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Additive. The effective set is the union of the linked loadout (resolved up its own chain) and any directly linked packages, de-duplicated by package.</w:t>
            </w:r>
          </w:p>
        </w:tc>
      </w:tr>
    </w:tbl>
    <w:p>
      <w:pPr>
        <w:spacing w:after="120" w:line="276"/>
      </w:pPr>
      <w:r>
        <w:rPr>
          <w:i/>
          <w:iCs/>
        </w:rPr>
        <w:t xml:space="preserve">Note the deliberate asymmetry. </w:t>
      </w:r>
      <w:r>
        <w:rPr>
          <w:i/>
          <w:iCs/>
        </w:rPr>
        <w:t xml:space="preserve">ISO and unattend use nearest-wins because a machine needs exactly one of each. Drivers are matched purely by hardware fit and are not scoped by the image chain at all. Software accumulates, because loadouts are designed to layer. These differences are intentional, not an oversight.</w:t>
      </w:r>
    </w:p>
    <w:p>
      <w:pPr>
        <w:pStyle w:val="Heading2"/>
      </w:pPr>
      <w:r>
        <w:t xml:space="preserve">4.3 Re-Imaging</w:t>
      </w:r>
    </w:p>
    <w:p>
      <w:pPr>
        <w:spacing w:after="120" w:line="276"/>
      </w:pPr>
      <w:r>
        <w:t xml:space="preserve">A machine already known to inventory carries a binding: the named image configuration it is assigned to, together with its name, target OU, group memberships and software assignment. Re-imaging always redeploys that bound configuration resolved against the latest definitions — the most recent ISO, the current unattend, the drivers that match today, and the current state of the assigned loadout and packages. There is no replay of a frozen historical image; re-imaging brings a machine back to the current standard for its configuration while preserving its identity.</w:t>
      </w:r>
    </w:p>
    <w:p>
      <w:pPr>
        <w:spacing w:after="120" w:line="276"/>
      </w:pPr>
      <w:r>
        <w:t xml:space="preserve">The re-image option is surfaced in the Boot Client menu only for recognised machines, because the client reports its hardware identity before the menu is built and the server can cross-reference inventory at that point.</w:t>
      </w:r>
    </w:p>
    <w:p>
      <w:pPr>
        <w:pStyle w:val="Heading1"/>
      </w:pPr>
      <w:r>
        <w:t xml:space="preserve">5. Data Model</w:t>
      </w:r>
    </w:p>
    <w:p>
      <w:pPr>
        <w:spacing w:after="120" w:line="276"/>
      </w:pPr>
      <w:r>
        <w:t xml:space="preserve">AutoDeploy is organised around a small set of standalone artifact objects that are composed by reference into images, and a set of records that track deployed machines. This section defines each entity and the relationships between them.</w:t>
      </w:r>
    </w:p>
    <w:p>
      <w:pPr>
        <w:pStyle w:val="Heading2"/>
      </w:pPr>
      <w:r>
        <w:t xml:space="preserve">5.1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Entity</w:t>
            </w:r>
          </w:p>
        </w:tc>
        <w:tc>
          <w:tcPr>
            <w:tcW w:type="dxa" w:w="15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Standalone?</w:t>
            </w:r>
          </w:p>
        </w:tc>
        <w:tc>
          <w:tcPr>
            <w:tcW w:type="dxa" w:w="59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Summary</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ISO</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Yes</w:t>
            </w:r>
          </w:p>
        </w:tc>
        <w:tc>
          <w:tcPr>
            <w:tcW w:type="dxa" w:w="5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Uploaded OS media with OS type and metadata; the source of the WIM/ESD.</w:t>
            </w:r>
          </w:p>
        </w:tc>
      </w:tr>
      <w:tr>
        <w:trPr>
          <w:tblHeader w:val="false"/>
        </w:trPr>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Unattend</w:t>
            </w:r>
          </w:p>
        </w:tc>
        <w:tc>
          <w:tcPr>
            <w:tcW w:type="dxa" w:w="15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Yes</w:t>
            </w:r>
          </w:p>
        </w:tc>
        <w:tc>
          <w:tcPr>
            <w:tcW w:type="dxa" w:w="59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Configuration object from which a complete answer file is generated.</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DriverPackage</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Yes</w:t>
            </w:r>
          </w:p>
        </w:tc>
        <w:tc>
          <w:tcPr>
            <w:tcW w:type="dxa" w:w="5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Driver payload ingested from an SCCM package, carrying SMBIOS match filters.</w:t>
            </w:r>
          </w:p>
        </w:tc>
      </w:tr>
      <w:tr>
        <w:trPr>
          <w:tblHeader w:val="false"/>
        </w:trPr>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SoftwarePackage</w:t>
            </w:r>
          </w:p>
        </w:tc>
        <w:tc>
          <w:tcPr>
            <w:tcW w:type="dxa" w:w="15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Yes</w:t>
            </w:r>
          </w:p>
        </w:tc>
        <w:tc>
          <w:tcPr>
            <w:tcW w:type="dxa" w:w="59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Installer payload with detection rules and ordered install steps.</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SoftwareLoadout</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Yes</w:t>
            </w:r>
          </w:p>
        </w:tc>
        <w:tc>
          <w:tcPr>
            <w:tcW w:type="dxa" w:w="5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Ordered, inheritable collection of software packages.</w:t>
            </w:r>
          </w:p>
        </w:tc>
      </w:tr>
      <w:tr>
        <w:trPr>
          <w:tblHeader w:val="false"/>
        </w:trPr>
        <w:tc>
          <w:tcPr>
            <w:tcW w:type="dxa" w:w="19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Image</w:t>
            </w:r>
          </w:p>
        </w:tc>
        <w:tc>
          <w:tcPr>
            <w:tcW w:type="dxa" w:w="15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Composition</w:t>
            </w:r>
          </w:p>
        </w:tc>
        <w:tc>
          <w:tcPr>
            <w:tcW w:type="dxa" w:w="59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References an ISO, an unattend and software (loadout and/or packages); has an optional parent for inheritance.</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MachineRecord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Record</w:t>
            </w:r>
          </w:p>
        </w:tc>
        <w:tc>
          <w:tcPr>
            <w:tcW w:type="dxa" w:w="59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 known machine: its identity, binding and deployment history.</w:t>
            </w:r>
          </w:p>
        </w:tc>
      </w:tr>
    </w:tbl>
    <w:p>
      <w:pPr>
        <w:pStyle w:val="Heading2"/>
      </w:pPr>
      <w:r>
        <w:t xml:space="preserve">5.2 Artifact Objects</w:t>
      </w:r>
    </w:p>
    <w:p>
      <w:pPr>
        <w:pStyle w:val="Heading3"/>
      </w:pPr>
      <w:r>
        <w:t xml:space="preserve">5.2.1 ISO</w:t>
      </w:r>
    </w:p>
    <w:p>
      <w:pPr>
        <w:spacing w:after="120" w:line="276"/>
      </w:pPr>
      <w:r>
        <w:t xml:space="preserve">An ISO object represents uploaded OS media. On upload the server extracts and stores the media's contents so that the WIM/ESD and supporting files can be served individually over HTTP rather than as a monolithic disc image. An ISO records its OS type, a name and description, and is linked by any number of images.</w:t>
      </w:r>
    </w:p>
    <w:p>
      <w:pPr>
        <w:pStyle w:val="Heading3"/>
      </w:pPr>
      <w:r>
        <w:t xml:space="preserve">5.2.2 Unattend</w:t>
      </w:r>
    </w:p>
    <w:p>
      <w:pPr>
        <w:spacing w:after="120" w:line="276"/>
      </w:pPr>
      <w:r>
        <w:t xml:space="preserve">An Unattend object holds the settings from which a complete unattend.xml answer file is generated; operators configure settings in the portal rather than editing XML. Because resolution is nearest-wins and used in full, every unattend object must be self-contained. A “base” unattend is therefore a template that is cloned and customised, not a fragment that merges into descendants. Exposed settings include, at minimum:</w:t>
      </w:r>
    </w:p>
    <w:p>
      <w:pPr>
        <w:pStyle w:val="ListParagraph"/>
        <w:numPr>
          <w:ilvl w:val="0"/>
          <w:numId w:val="2"/>
        </w:numPr>
        <w:spacing w:after="60" w:line="276"/>
      </w:pPr>
      <w:r>
        <w:t xml:space="preserve">Locale, language, keyboard and time zone.</w:t>
      </w:r>
    </w:p>
    <w:p>
      <w:pPr>
        <w:pStyle w:val="ListParagraph"/>
        <w:numPr>
          <w:ilvl w:val="0"/>
          <w:numId w:val="2"/>
        </w:numPr>
        <w:spacing w:after="60" w:line="276"/>
      </w:pPr>
      <w:r>
        <w:t xml:space="preserve">Disk and partition layout.</w:t>
      </w:r>
    </w:p>
    <w:p>
      <w:pPr>
        <w:pStyle w:val="ListParagraph"/>
        <w:numPr>
          <w:ilvl w:val="0"/>
          <w:numId w:val="2"/>
        </w:numPr>
        <w:spacing w:after="60" w:line="276"/>
      </w:pPr>
      <w:r>
        <w:t xml:space="preserve">Edition selection and product key.</w:t>
      </w:r>
    </w:p>
    <w:p>
      <w:pPr>
        <w:pStyle w:val="ListParagraph"/>
        <w:numPr>
          <w:ilvl w:val="0"/>
          <w:numId w:val="2"/>
        </w:numPr>
        <w:spacing w:after="60" w:line="276"/>
      </w:pPr>
      <w:r>
        <w:t xml:space="preserve">Local administrator account configuration.</w:t>
      </w:r>
    </w:p>
    <w:p>
      <w:pPr>
        <w:pStyle w:val="ListParagraph"/>
        <w:numPr>
          <w:ilvl w:val="0"/>
          <w:numId w:val="2"/>
        </w:numPr>
        <w:spacing w:after="60" w:line="276"/>
      </w:pPr>
      <w:r>
        <w:t xml:space="preserve">Computer-naming strategy.</w:t>
      </w:r>
    </w:p>
    <w:p>
      <w:pPr>
        <w:pStyle w:val="ListParagraph"/>
        <w:numPr>
          <w:ilvl w:val="0"/>
          <w:numId w:val="2"/>
        </w:numPr>
        <w:spacing w:after="60" w:line="276"/>
      </w:pPr>
      <w:r>
        <w:t xml:space="preserve">OOBE screens to skip.</w:t>
      </w:r>
    </w:p>
    <w:p>
      <w:pPr>
        <w:pStyle w:val="ListParagraph"/>
        <w:numPr>
          <w:ilvl w:val="0"/>
          <w:numId w:val="2"/>
        </w:numPr>
        <w:spacing w:after="60" w:line="276"/>
      </w:pPr>
      <w:r>
        <w:t xml:space="preserve">Domain join settings (when AD integration is used).</w:t>
      </w:r>
    </w:p>
    <w:p>
      <w:pPr>
        <w:pStyle w:val="ListParagraph"/>
        <w:numPr>
          <w:ilvl w:val="0"/>
          <w:numId w:val="2"/>
        </w:numPr>
        <w:spacing w:after="60" w:line="276"/>
      </w:pPr>
      <w:r>
        <w:t xml:space="preserve">First-logon commands, including the command that installs the Deployment Client.</w:t>
      </w:r>
    </w:p>
    <w:p>
      <w:pPr>
        <w:pStyle w:val="Heading3"/>
      </w:pPr>
      <w:r>
        <w:t xml:space="preserve">5.2.3 DriverPackage</w:t>
      </w:r>
    </w:p>
    <w:p>
      <w:pPr>
        <w:spacing w:after="120" w:line="276"/>
      </w:pPr>
      <w:r>
        <w:t xml:space="preserve">A DriverPackage is ingested by uploading an SCCM driver package. On upload the server extracts the driver payload (the .inf-based driver files) and the metadata needed for matching. Each package carries one or more filters expressed over SMBIOS attributes — for example, a rule matching a specific manufacturer and product name. At deployment time the server evaluates every package's filters against the reported hardware and injects all matches.</w:t>
      </w:r>
    </w:p>
    <w:p>
      <w:pPr>
        <w:spacing w:after="120" w:line="276"/>
      </w:pPr>
      <w:r>
        <w:rPr>
          <w:b/>
          <w:bCs/>
        </w:rPr>
        <w:t xml:space="preserve">Filter specificity matters. </w:t>
      </w:r>
      <w:r>
        <w:t xml:space="preserve">Because matching is global and unscoped by the image chain, an over-broad filter will inject drivers into machines it was not intended for. Filters should be as specific as the driver requires, and the portal should offer a preview of which known machines a filter would match.</w:t>
      </w:r>
    </w:p>
    <w:p>
      <w:pPr>
        <w:pStyle w:val="Heading3"/>
      </w:pPr>
      <w:r>
        <w:t xml:space="preserve">5.2.4 SoftwarePackage</w:t>
      </w:r>
    </w:p>
    <w:p>
      <w:pPr>
        <w:spacing w:after="120" w:line="276"/>
      </w:pPr>
      <w:r>
        <w:t xml:space="preserve">A SoftwarePackage models a single installable item in the manner of an SCCM application. It owns its uploaded installer payload, a name and description, one or more detection rules, and an ordered sequence of typed install steps.</w:t>
      </w:r>
    </w:p>
    <w:p>
      <w:pPr>
        <w:spacing w:after="120" w:line="276"/>
      </w:pPr>
      <w:r>
        <w:rPr>
          <w:b/>
          <w:bCs/>
        </w:rPr>
        <w:t xml:space="preserve">Detection rules</w:t>
      </w:r>
      <w:r>
        <w:t xml:space="preserve"> determine whether the package is already installed and are used both to make deployment idempotent and to support inventory and drift reporting. Supported rule types mirror SCCM:</w:t>
      </w:r>
    </w:p>
    <w:p>
      <w:pPr>
        <w:pStyle w:val="ListParagraph"/>
        <w:numPr>
          <w:ilvl w:val="0"/>
          <w:numId w:val="2"/>
        </w:numPr>
        <w:spacing w:after="60" w:line="276"/>
      </w:pPr>
      <w:r>
        <w:t xml:space="preserve">File presence or file version.</w:t>
      </w:r>
    </w:p>
    <w:p>
      <w:pPr>
        <w:pStyle w:val="ListParagraph"/>
        <w:numPr>
          <w:ilvl w:val="0"/>
          <w:numId w:val="2"/>
        </w:numPr>
        <w:spacing w:after="60" w:line="276"/>
      </w:pPr>
      <w:r>
        <w:t xml:space="preserve">Registry key or value.</w:t>
      </w:r>
    </w:p>
    <w:p>
      <w:pPr>
        <w:pStyle w:val="ListParagraph"/>
        <w:numPr>
          <w:ilvl w:val="0"/>
          <w:numId w:val="2"/>
        </w:numPr>
        <w:spacing w:after="60" w:line="276"/>
      </w:pPr>
      <w:r>
        <w:t xml:space="preserve">MSI product code.</w:t>
      </w:r>
    </w:p>
    <w:p>
      <w:pPr>
        <w:pStyle w:val="ListParagraph"/>
        <w:numPr>
          <w:ilvl w:val="0"/>
          <w:numId w:val="2"/>
        </w:numPr>
        <w:spacing w:after="60" w:line="276"/>
      </w:pPr>
      <w:r>
        <w:t xml:space="preserve">Custom script returning a result code.</w:t>
      </w:r>
    </w:p>
    <w:p>
      <w:pPr>
        <w:spacing w:after="120" w:line="276"/>
      </w:pPr>
      <w:r>
        <w:rPr>
          <w:b/>
          <w:bCs/>
        </w:rPr>
        <w:t xml:space="preserve">Install steps</w:t>
      </w:r>
      <w:r>
        <w:t xml:space="preserve"> are a first-class ordered list, executed in sequence. Each step is one of the following types, and each carries its own success-code set and a continue-or-abort-on-failure flag:</w:t>
      </w:r>
    </w:p>
    <w:p>
      <w:pPr>
        <w:pStyle w:val="ListParagraph"/>
        <w:numPr>
          <w:ilvl w:val="0"/>
          <w:numId w:val="2"/>
        </w:numPr>
        <w:spacing w:after="60" w:line="276"/>
      </w:pPr>
      <w:r>
        <w:t xml:space="preserve">Copy files from a source to a destination.</w:t>
      </w:r>
    </w:p>
    <w:p>
      <w:pPr>
        <w:pStyle w:val="ListParagraph"/>
        <w:numPr>
          <w:ilvl w:val="0"/>
          <w:numId w:val="2"/>
        </w:numPr>
        <w:spacing w:after="60" w:line="276"/>
      </w:pPr>
      <w:r>
        <w:t xml:space="preserve">Run an MSI.</w:t>
      </w:r>
    </w:p>
    <w:p>
      <w:pPr>
        <w:pStyle w:val="ListParagraph"/>
        <w:numPr>
          <w:ilvl w:val="0"/>
          <w:numId w:val="2"/>
        </w:numPr>
        <w:spacing w:after="60" w:line="276"/>
      </w:pPr>
      <w:r>
        <w:t xml:space="preserve">Install an APPX/MSIX package.</w:t>
      </w:r>
    </w:p>
    <w:p>
      <w:pPr>
        <w:pStyle w:val="ListParagraph"/>
        <w:numPr>
          <w:ilvl w:val="0"/>
          <w:numId w:val="2"/>
        </w:numPr>
        <w:spacing w:after="60" w:line="276"/>
      </w:pPr>
      <w:r>
        <w:t xml:space="preserve">Run a command (CMD).</w:t>
      </w:r>
    </w:p>
    <w:p>
      <w:pPr>
        <w:pStyle w:val="ListParagraph"/>
        <w:numPr>
          <w:ilvl w:val="0"/>
          <w:numId w:val="2"/>
        </w:numPr>
        <w:spacing w:after="60" w:line="276"/>
      </w:pPr>
      <w:r>
        <w:t xml:space="preserve">Run a PowerShell script.</w:t>
      </w:r>
    </w:p>
    <w:p>
      <w:pPr>
        <w:pStyle w:val="ListParagraph"/>
        <w:numPr>
          <w:ilvl w:val="0"/>
          <w:numId w:val="2"/>
        </w:numPr>
        <w:spacing w:after="60" w:line="276"/>
      </w:pPr>
      <w:r>
        <w:t xml:space="preserve">Run an executable with arguments.</w:t>
      </w:r>
    </w:p>
    <w:p>
      <w:pPr>
        <w:spacing w:after="120" w:line="276"/>
      </w:pPr>
      <w:r>
        <w:t xml:space="preserve">Modelling steps as a reorderable list, rather than a single command, makes a package a small self-contained task sequence — enough to express realistic installs (lay down files, then run an installer, then a post-configuration script) without escalating to a full task-sequencing engine.</w:t>
      </w:r>
    </w:p>
    <w:p>
      <w:pPr>
        <w:pStyle w:val="Heading3"/>
      </w:pPr>
      <w:r>
        <w:t xml:space="preserve">5.2.5 SoftwareLoadout</w:t>
      </w:r>
    </w:p>
    <w:p>
      <w:pPr>
        <w:spacing w:after="120" w:line="276"/>
      </w:pPr>
      <w:r>
        <w:t xml:space="preserve">A SoftwareLoadout is a named, ordered collection of software packages, and it supports its own inheritance chain. Loadout inheritance is additive: a child loadout's effective set is its parent's packages plus its own. A child may opt out of an inherited package. Ordering within a loadout is controlled by an explicit per-package order value rather than implied by chain depth, so the install sequence is deterministic regardless of how deep the inheritance goes.</w:t>
      </w:r>
    </w:p>
    <w:p>
      <w:pPr>
        <w:pStyle w:val="Heading2"/>
      </w:pPr>
      <w:r>
        <w:t xml:space="preserve">5.3 The Image Object</w:t>
      </w:r>
    </w:p>
    <w:p>
      <w:pPr>
        <w:spacing w:after="120" w:line="276"/>
      </w:pPr>
      <w:r>
        <w:t xml:space="preserve">An Image is primarily a composition object plus an inheritance pointer. It links an ISO, an unattend, a loadout and/or a set of individual software packages, all by reference; it carries a name and description; and it optionally points to a parent image. Images form arbitrary-depth inheritance chains, resolved by the rules in Section 4.2.</w:t>
      </w:r>
    </w:p>
    <w:p>
      <w:pPr>
        <w:spacing w:after="120" w:line="276"/>
      </w:pPr>
      <w:r>
        <w:t xml:space="preserve">When an image links both a loadout and individual packages, the effective software set is the union of the two, de-duplicated by package identity. Where a package arrives by both routes, a directly linked package's ordering takes precedence over the same package's ordering inherited through the loadout.</w:t>
      </w:r>
    </w:p>
    <w:p>
      <w:pPr>
        <w:pStyle w:val="Heading3"/>
      </w:pPr>
      <w:r>
        <w:t xml:space="preserve">5.3.1 Inheritance Integrity</w:t>
      </w:r>
    </w:p>
    <w:p>
      <w:pPr>
        <w:spacing w:after="120" w:line="276"/>
      </w:pPr>
      <w:r>
        <w:t xml:space="preserve">Because parent pointers are arbitrary-depth and artifacts are shared across many images, two integrity concerns must be enforced by the management system:</w:t>
      </w:r>
    </w:p>
    <w:p>
      <w:pPr>
        <w:spacing w:after="120" w:line="276"/>
      </w:pPr>
      <w:r>
        <w:rPr>
          <w:b/>
          <w:bCs/>
        </w:rPr>
        <w:t xml:space="preserve">Cycle prevention. </w:t>
      </w:r>
      <w:r>
        <w:t xml:space="preserve">An image whose parent chain would loop back to itself must be rejected at save time.</w:t>
      </w:r>
    </w:p>
    <w:p>
      <w:pPr>
        <w:spacing w:after="120" w:line="276"/>
      </w:pPr>
      <w:r>
        <w:rPr>
          <w:b/>
          <w:bCs/>
        </w:rPr>
        <w:t xml:space="preserve">Shared-object impact. </w:t>
      </w:r>
      <w:r>
        <w:t xml:space="preserve">Editing or deleting a shared ISO, unattend, driver package or software package affects every image that links it. The portal must surface how many images reference an object before an edit, and must warn on — or block — deletion of a referenced object.</w:t>
      </w:r>
    </w:p>
    <w:p>
      <w:pPr>
        <w:pStyle w:val="Heading1"/>
      </w:pPr>
      <w:r>
        <w:t xml:space="preserve">6. Management Portal</w:t>
      </w:r>
    </w:p>
    <w:p>
      <w:pPr>
        <w:spacing w:after="120" w:line="276"/>
      </w:pPr>
      <w:r>
        <w:t xml:space="preserve">The web portal is the operator's single interface to the system. It is where all artifacts are created and maintained and where images are composed, machines are reviewed and re-imaging is initiated.</w:t>
      </w:r>
    </w:p>
    <w:p>
      <w:pPr>
        <w:pStyle w:val="Heading2"/>
      </w:pPr>
      <w:r>
        <w:t xml:space="preserve">6.1 Capabilities</w:t>
      </w:r>
    </w:p>
    <w:p>
      <w:pPr>
        <w:pStyle w:val="ListParagraph"/>
        <w:numPr>
          <w:ilvl w:val="0"/>
          <w:numId w:val="2"/>
        </w:numPr>
        <w:spacing w:after="60" w:line="276"/>
      </w:pPr>
      <w:r>
        <w:t xml:space="preserve">Create and manage ISO objects, including upload and OS-type assignment.</w:t>
      </w:r>
    </w:p>
    <w:p>
      <w:pPr>
        <w:pStyle w:val="ListParagraph"/>
        <w:numPr>
          <w:ilvl w:val="0"/>
          <w:numId w:val="2"/>
        </w:numPr>
        <w:spacing w:after="60" w:line="276"/>
      </w:pPr>
      <w:r>
        <w:t xml:space="preserve">Create unattend objects by configuring settings; the portal generates the answer file.</w:t>
      </w:r>
    </w:p>
    <w:p>
      <w:pPr>
        <w:pStyle w:val="ListParagraph"/>
        <w:numPr>
          <w:ilvl w:val="0"/>
          <w:numId w:val="2"/>
        </w:numPr>
        <w:spacing w:after="60" w:line="276"/>
      </w:pPr>
      <w:r>
        <w:t xml:space="preserve">Create driver packages by uploading SCCM packages and defining SMBIOS filters, with a match preview.</w:t>
      </w:r>
    </w:p>
    <w:p>
      <w:pPr>
        <w:pStyle w:val="ListParagraph"/>
        <w:numPr>
          <w:ilvl w:val="0"/>
          <w:numId w:val="2"/>
        </w:numPr>
        <w:spacing w:after="60" w:line="276"/>
      </w:pPr>
      <w:r>
        <w:t xml:space="preserve">Create software packages: upload installers, define detection rules, and build the ordered list of install steps.</w:t>
      </w:r>
    </w:p>
    <w:p>
      <w:pPr>
        <w:pStyle w:val="ListParagraph"/>
        <w:numPr>
          <w:ilvl w:val="0"/>
          <w:numId w:val="2"/>
        </w:numPr>
        <w:spacing w:after="60" w:line="276"/>
      </w:pPr>
      <w:r>
        <w:t xml:space="preserve">Build software loadouts, set per-package order, manage inheritance and opt-outs.</w:t>
      </w:r>
    </w:p>
    <w:p>
      <w:pPr>
        <w:pStyle w:val="ListParagraph"/>
        <w:numPr>
          <w:ilvl w:val="0"/>
          <w:numId w:val="2"/>
        </w:numPr>
        <w:spacing w:after="60" w:line="276"/>
      </w:pPr>
      <w:r>
        <w:t xml:space="preserve">Compose images: link an ISO, an unattend, a loadout and/or packages, and set a parent for inheritance.</w:t>
      </w:r>
    </w:p>
    <w:p>
      <w:pPr>
        <w:pStyle w:val="ListParagraph"/>
        <w:numPr>
          <w:ilvl w:val="0"/>
          <w:numId w:val="2"/>
        </w:numPr>
        <w:spacing w:after="60" w:line="276"/>
      </w:pPr>
      <w:r>
        <w:t xml:space="preserve">Review inventory: see known machines, their bindings and their deployment history; initiate re-imaging.</w:t>
      </w:r>
    </w:p>
    <w:p>
      <w:pPr>
        <w:pStyle w:val="ListParagraph"/>
        <w:numPr>
          <w:ilvl w:val="0"/>
          <w:numId w:val="2"/>
        </w:numPr>
        <w:spacing w:after="60" w:line="276"/>
      </w:pPr>
      <w:r>
        <w:t xml:space="preserve">Configure system settings, including AD integration, the global access PIN, system-wide branding and log retention.</w:t>
      </w:r>
    </w:p>
    <w:p>
      <w:pPr>
        <w:pStyle w:val="ListParagraph"/>
        <w:numPr>
          <w:ilvl w:val="0"/>
          <w:numId w:val="2"/>
        </w:numPr>
        <w:spacing w:after="60" w:line="276"/>
      </w:pPr>
      <w:r>
        <w:t xml:space="preserve">Manage local user accounts for portal access: create, disable and delete accounts and reset passwords.</w:t>
      </w:r>
    </w:p>
    <w:p>
      <w:pPr>
        <w:pStyle w:val="ListParagraph"/>
        <w:numPr>
          <w:ilvl w:val="0"/>
          <w:numId w:val="2"/>
        </w:numPr>
        <w:spacing w:after="60" w:line="276"/>
      </w:pPr>
      <w:r>
        <w:t xml:space="preserve">View and search centralised logs from all components, including Boot Client and agent activity.</w:t>
      </w:r>
    </w:p>
    <w:p>
      <w:pPr>
        <w:pStyle w:val="Heading2"/>
      </w:pPr>
      <w:r>
        <w:t xml:space="preserve">6.2 Usability Requirements</w:t>
      </w:r>
    </w:p>
    <w:p>
      <w:pPr>
        <w:pStyle w:val="ListParagraph"/>
        <w:numPr>
          <w:ilvl w:val="0"/>
          <w:numId w:val="2"/>
        </w:numPr>
        <w:spacing w:after="60" w:line="276"/>
      </w:pPr>
      <w:r>
        <w:t xml:space="preserve">Reference-count visibility: any shared object shows how many images use it before edit or delete.</w:t>
      </w:r>
    </w:p>
    <w:p>
      <w:pPr>
        <w:pStyle w:val="ListParagraph"/>
        <w:numPr>
          <w:ilvl w:val="0"/>
          <w:numId w:val="2"/>
        </w:numPr>
        <w:spacing w:after="60" w:line="276"/>
      </w:pPr>
      <w:r>
        <w:t xml:space="preserve">Inheritance visualisation: an image's resolved configuration (effective ISO, unattend, drivers, software) should be viewable so operators can see what will actually be deployed.</w:t>
      </w:r>
    </w:p>
    <w:p>
      <w:pPr>
        <w:pStyle w:val="ListParagraph"/>
        <w:numPr>
          <w:ilvl w:val="0"/>
          <w:numId w:val="2"/>
        </w:numPr>
        <w:spacing w:after="60" w:line="276"/>
      </w:pPr>
      <w:r>
        <w:t xml:space="preserve">Validation feedback: cycle detection, incomplete unattends and over-broad filters should be surfaced at edit time.</w:t>
      </w:r>
    </w:p>
    <w:p>
      <w:pPr>
        <w:pStyle w:val="Heading1"/>
      </w:pPr>
      <w:r>
        <w:t xml:space="preserve">7. Boot Client</w:t>
      </w:r>
    </w:p>
    <w:p>
      <w:pPr>
        <w:spacing w:after="120" w:line="276"/>
      </w:pPr>
      <w:r>
        <w:t xml:space="preserve">The Boot Client is the pre-OS component. It is a lightweight Linux environment — a minimal kernel and initramfs running the client agent — chainloaded over HTTP by iPXE. A Linux pre-boot environment is chosen because it can read firmware identity natively and apply Windows images with open tooling, with no WinPE licensing or footprint.</w:t>
      </w:r>
    </w:p>
    <w:p>
      <w:pPr>
        <w:pStyle w:val="Heading2"/>
      </w:pPr>
      <w:r>
        <w:t xml:space="preserve">7.1 Reading Hardware Identity</w:t>
      </w:r>
    </w:p>
    <w:p>
      <w:pPr>
        <w:spacing w:after="120" w:line="276"/>
      </w:pPr>
      <w:r>
        <w:t xml:space="preserve">Immediately on boot, the client reads identity from the SMBIOS/DMI tables exposed by firmware. The relevant structures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SMBIOS structure</w:t>
            </w:r>
          </w:p>
        </w:tc>
        <w:tc>
          <w:tcPr>
            <w:tcW w:type="dxa" w:w="37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Fields used</w:t>
            </w:r>
          </w:p>
        </w:tc>
        <w:tc>
          <w:tcPr>
            <w:tcW w:type="dxa" w:w="33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Purpose</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Type 1 — System</w:t>
            </w:r>
          </w:p>
        </w:tc>
        <w:tc>
          <w:tcPr>
            <w:tcW w:type="dxa" w:w="3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Manufacturer, Product Name, Serial Number, UUID</w:t>
            </w:r>
          </w:p>
        </w:tc>
        <w:tc>
          <w:tcPr>
            <w:tcW w:type="dxa" w:w="3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Primary make/model/serial; UUID is the stable unique identifier.</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Type 0 — BIOS</w:t>
            </w:r>
          </w:p>
        </w:tc>
        <w:tc>
          <w:tcPr>
            <w:tcW w:type="dxa" w:w="37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Vendor, BIOS Version, Release Date</w:t>
            </w:r>
          </w:p>
        </w:tc>
        <w:tc>
          <w:tcPr>
            <w:tcW w:type="dxa" w:w="3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Firmware-conditional logic and reporting.</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Type 2 — Baseboard</w:t>
            </w:r>
          </w:p>
        </w:tc>
        <w:tc>
          <w:tcPr>
            <w:tcW w:type="dxa" w:w="3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Manufacturer, Product, Serial</w:t>
            </w:r>
          </w:p>
        </w:tc>
        <w:tc>
          <w:tcPr>
            <w:tcW w:type="dxa" w:w="3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Motherboard identity; on some OEMs a more reliable driver-matching key than the system product name.</w:t>
            </w:r>
          </w:p>
        </w:tc>
      </w:tr>
    </w:tbl>
    <w:p>
      <w:pPr>
        <w:spacing w:after="120" w:line="276"/>
      </w:pPr>
      <w:r>
        <w:t xml:space="preserve">These attributes are reported to the API and used for two things: building the deployment menu (matching the machine against inventory) and driver matching (evaluating driver-package filters).</w:t>
      </w:r>
    </w:p>
    <w:p>
      <w:pPr>
        <w:pStyle w:val="Heading2"/>
      </w:pPr>
      <w:r>
        <w:t xml:space="preserve">7.2 Access Control</w:t>
      </w:r>
    </w:p>
    <w:p>
      <w:pPr>
        <w:spacing w:after="120" w:line="276"/>
      </w:pPr>
      <w:r>
        <w:t xml:space="preserve">If the global access PIN is enabled, the client prompts for it before requesting the menu. Each entered PIN is submitted to the API for validation; the client never holds or checks the PIN itself. After three failed attempts the client exits and boots the machine from its normal boot device. The attempt counter exists for the prompt's behaviour, but the authoritative check — and rate limiting by machine identity — is server-side, so rebooting to reset the local counter does not defeat the control. See Section 9.</w:t>
      </w:r>
    </w:p>
    <w:p>
      <w:pPr>
        <w:pStyle w:val="Heading2"/>
      </w:pPr>
      <w:r>
        <w:t xml:space="preserve">7.3 Menu and Selection</w:t>
      </w:r>
    </w:p>
    <w:p>
      <w:pPr>
        <w:spacing w:after="120" w:line="276"/>
      </w:pPr>
      <w:r>
        <w:t xml:space="preserve">After access is granted, the client requests the deployment menu and renders the returned list of configurations. For a machine recognised in inventory, a re-image option appears. The operator's selection, with the hardware identity, is submitted to the API, which performs resolution and returns the payload manifest.</w:t>
      </w:r>
    </w:p>
    <w:p>
      <w:pPr>
        <w:pStyle w:val="Heading2"/>
      </w:pPr>
      <w:r>
        <w:t xml:space="preserve">7.4 Imaging</w:t>
      </w:r>
    </w:p>
    <w:p>
      <w:pPr>
        <w:spacing w:after="120" w:line="276"/>
      </w:pPr>
      <w:r>
        <w:t xml:space="preserve">The client carries out the on-disk work:</w:t>
      </w:r>
    </w:p>
    <w:p>
      <w:pPr>
        <w:pStyle w:val="ListParagraph"/>
        <w:numPr>
          <w:ilvl w:val="0"/>
          <w:numId w:val="4"/>
        </w:numPr>
        <w:spacing w:after="60" w:line="276"/>
      </w:pPr>
      <w:r>
        <w:t xml:space="preserve">Partition the target disk according to the resolved unattend's layout.</w:t>
      </w:r>
    </w:p>
    <w:p>
      <w:pPr>
        <w:pStyle w:val="ListParagraph"/>
        <w:numPr>
          <w:ilvl w:val="0"/>
          <w:numId w:val="4"/>
        </w:numPr>
        <w:spacing w:after="60" w:line="276"/>
      </w:pPr>
      <w:r>
        <w:t xml:space="preserve">Pull the WIM/ESD over HTTP and apply it with wimlib.</w:t>
      </w:r>
    </w:p>
    <w:p>
      <w:pPr>
        <w:pStyle w:val="ListParagraph"/>
        <w:numPr>
          <w:ilvl w:val="0"/>
          <w:numId w:val="4"/>
        </w:numPr>
        <w:spacing w:after="60" w:line="276"/>
      </w:pPr>
      <w:r>
        <w:t xml:space="preserve">Inject every matched driver package into the applied image.</w:t>
      </w:r>
    </w:p>
    <w:p>
      <w:pPr>
        <w:pStyle w:val="ListParagraph"/>
        <w:numPr>
          <w:ilvl w:val="0"/>
          <w:numId w:val="4"/>
        </w:numPr>
        <w:spacing w:after="60" w:line="276"/>
      </w:pPr>
      <w:r>
        <w:t xml:space="preserve">Write the generated unattend file into the applied image.</w:t>
      </w:r>
    </w:p>
    <w:p>
      <w:pPr>
        <w:pStyle w:val="ListParagraph"/>
        <w:numPr>
          <w:ilvl w:val="0"/>
          <w:numId w:val="4"/>
        </w:numPr>
        <w:spacing w:after="60" w:line="276"/>
      </w:pPr>
      <w:r>
        <w:t xml:space="preserve">Reboot into Windows, which runs unattended setup and installs the Deployment Client.</w:t>
      </w:r>
    </w:p>
    <w:p>
      <w:pPr>
        <w:pStyle w:val="Heading1"/>
      </w:pPr>
      <w:r>
        <w:t xml:space="preserve">8. Deployment Client and Domain Integration</w:t>
      </w:r>
    </w:p>
    <w:p>
      <w:pPr>
        <w:pStyle w:val="Heading2"/>
      </w:pPr>
      <w:r>
        <w:t xml:space="preserve">8.1 Deployment Client (Agent)</w:t>
      </w:r>
    </w:p>
    <w:p>
      <w:pPr>
        <w:spacing w:after="120" w:line="276"/>
      </w:pPr>
      <w:r>
        <w:t xml:space="preserve">The Deployment Client is a resident, silent agent. It is first launched inside the freshly installed OS by the unattend's first-logon command, but unlike a run-once installer it remains installed and running in the background with no end-user-facing interface. Its life has two phases: an initial deployment-time configuration, and ongoing operation in which it periodically checks in with the API to receive and execute queued work.</w:t>
      </w:r>
    </w:p>
    <w:p>
      <w:pPr>
        <w:pStyle w:val="Heading3"/>
      </w:pPr>
      <w:r>
        <w:t xml:space="preserve">8.1.1 Deployment-Time Configuration</w:t>
      </w:r>
    </w:p>
    <w:p>
      <w:pPr>
        <w:pStyle w:val="ListParagraph"/>
        <w:numPr>
          <w:ilvl w:val="0"/>
          <w:numId w:val="2"/>
        </w:numPr>
        <w:spacing w:after="60" w:line="276"/>
      </w:pPr>
      <w:r>
        <w:t xml:space="preserve">Retrieve the effective, ordered list of software packages for the machine from the API.</w:t>
      </w:r>
    </w:p>
    <w:p>
      <w:pPr>
        <w:pStyle w:val="ListParagraph"/>
        <w:numPr>
          <w:ilvl w:val="0"/>
          <w:numId w:val="2"/>
        </w:numPr>
        <w:spacing w:after="60" w:line="276"/>
      </w:pPr>
      <w:r>
        <w:t xml:space="preserve">For each package, evaluate its detection rules; skip packages already present.</w:t>
      </w:r>
    </w:p>
    <w:p>
      <w:pPr>
        <w:pStyle w:val="ListParagraph"/>
        <w:numPr>
          <w:ilvl w:val="0"/>
          <w:numId w:val="2"/>
        </w:numPr>
        <w:spacing w:after="60" w:line="276"/>
      </w:pPr>
      <w:r>
        <w:t xml:space="preserve">Execute each package's install steps in order, honouring per-step success codes and continue/abort-on-failure flags.</w:t>
      </w:r>
    </w:p>
    <w:p>
      <w:pPr>
        <w:pStyle w:val="ListParagraph"/>
        <w:numPr>
          <w:ilvl w:val="0"/>
          <w:numId w:val="2"/>
        </w:numPr>
        <w:spacing w:after="60" w:line="276"/>
      </w:pPr>
      <w:r>
        <w:t xml:space="preserve">Re-evaluate detection after install to confirm success.</w:t>
      </w:r>
    </w:p>
    <w:p>
      <w:pPr>
        <w:pStyle w:val="ListParagraph"/>
        <w:numPr>
          <w:ilvl w:val="0"/>
          <w:numId w:val="2"/>
        </w:numPr>
        <w:spacing w:after="60" w:line="276"/>
      </w:pPr>
      <w:r>
        <w:t xml:space="preserve">If the machine's inventory record defines a BitLocker PIN, enable encryption (see 8.3).</w:t>
      </w:r>
    </w:p>
    <w:p>
      <w:pPr>
        <w:pStyle w:val="ListParagraph"/>
        <w:numPr>
          <w:ilvl w:val="0"/>
          <w:numId w:val="2"/>
        </w:numPr>
        <w:spacing w:after="60" w:line="276"/>
      </w:pPr>
      <w:r>
        <w:t xml:space="preserve">Report the outcome and the machine's inventory back to the API.</w:t>
      </w:r>
    </w:p>
    <w:p>
      <w:pPr>
        <w:pStyle w:val="Heading3"/>
      </w:pPr>
      <w:r>
        <w:t xml:space="preserve">8.1.2 Ongoing Operation</w:t>
      </w:r>
    </w:p>
    <w:p>
      <w:pPr>
        <w:spacing w:after="120" w:line="276"/>
      </w:pPr>
      <w:r>
        <w:t xml:space="preserve">After deployment the agent checks in with the API on a schedule. On each check-in it pulls any jobs queued for the machine — produced by bulk operations (Section 13) — executes them silently, and reports results. The same detection and step-execution machinery used at deploy time is reused for pushed software and scripts, so bulk software deployment is idempotent by construction.</w:t>
      </w:r>
    </w:p>
    <w:p>
      <w:pPr>
        <w:pStyle w:val="Heading2"/>
      </w:pPr>
      <w:r>
        <w:t xml:space="preserve">8.2 Active Directory Integration</w:t>
      </w:r>
    </w:p>
    <w:p>
      <w:pPr>
        <w:spacing w:after="120" w:line="276"/>
      </w:pPr>
      <w:r>
        <w:t xml:space="preserve">AD integration is optional and applies only to configurations whose unattend includes domain join. All directory operations are performed server-side by the Domain Integration Service using a service account, because that is where directory credentials and line-of-sight belong — not in a client running inside a half-built OS. The agent (or the unattend) performs the actual join; the service manages the computer object.</w:t>
      </w:r>
    </w:p>
    <w:p>
      <w:pPr>
        <w:pStyle w:val="Heading3"/>
      </w:pPr>
      <w:r>
        <w:t xml:space="preserve">8.2.1 Computer Object Lifecycle</w:t>
      </w:r>
    </w:p>
    <w:p>
      <w:pPr>
        <w:spacing w:after="120" w:line="276"/>
      </w:pPr>
      <w:r>
        <w:t xml:space="preserve">On deployment of a machine that uses AD, the service ensures the computer object reflects the binding's name, target OU and group memberships. The specified behaviour is delete-and-replace: if a computer object already exists at the target name, it is deleted and a new object is created at the correct OU with the name and group memberships from the binding.</w:t>
      </w:r>
    </w:p>
    <w:p>
      <w:pPr>
        <w:spacing w:after="120" w:line="276"/>
      </w:pPr>
      <w:r>
        <w:rPr>
          <w:b/>
          <w:bCs/>
        </w:rPr>
        <w:t xml:space="preserve">Accepted consequence. </w:t>
      </w:r>
      <w:r>
        <w:t xml:space="preserve">Delete-and-replace gives the new machine a fresh computer object. Because the replacement object receives a new SID and GUID, anything bound to the previous object's identity is reset — including any LAPS-managed credentials stored on the old object, which are discarded with it, and any group memberships, which are re-applied from the binding rather than preserved. Note that BitLocker recovery is unaffected by this: AutoDeploy escrows recovery keys in its own inventory keyed on hardware identity (Section 8.3), not on the AD object, so keys survive the object's deletion. This is an accepted trade-off of the specified approach and is recorded here so the implication is explicit.</w:t>
      </w:r>
    </w:p>
    <w:p>
      <w:pPr>
        <w:pStyle w:val="Heading2"/>
      </w:pPr>
      <w:r>
        <w:t xml:space="preserve">8.3 BitLocker Management</w:t>
      </w:r>
    </w:p>
    <w:p>
      <w:pPr>
        <w:spacing w:after="120" w:line="276"/>
      </w:pPr>
      <w:r>
        <w:t xml:space="preserve">BitLocker encryption of the OS volume (C:) is managed by the agent and is opt-in per machine. The control point is the machine's inventory record: if it defines a BitLocker PIN, the agent enables BitLocker with TPM+PIN protection using that PIN; if no PIN is defined, the machine is left unencrypted. Absence of a PIN is therefore a meaningful state meaning “do not encrypt.”</w:t>
      </w:r>
    </w:p>
    <w:p>
      <w:pPr>
        <w:spacing w:after="120" w:line="276"/>
      </w:pPr>
      <w:r>
        <w:rPr>
          <w:b/>
          <w:bCs/>
        </w:rPr>
        <w:t xml:space="preserve">PIN continuity across re-image. </w:t>
      </w:r>
      <w:r>
        <w:t xml:space="preserve">The pre-boot PIN is a user-chosen credential, not cryptographic key material, so it can be carried across a rebuild. On re-image, the agent re-enables BitLocker on the new C: volume and reapplies the same PIN stored in inventory, so the user's pre-boot experience is unchanged. The underlying encryption keys and the recovery key are necessarily new — the volume was wiped — but the PIN the user types is identical.</w:t>
      </w:r>
    </w:p>
    <w:p>
      <w:pPr>
        <w:spacing w:after="120" w:line="276"/>
      </w:pPr>
      <w:r>
        <w:rPr>
          <w:b/>
          <w:bCs/>
        </w:rPr>
        <w:t xml:space="preserve">Recovery key escrow and history. </w:t>
      </w:r>
      <w:r>
        <w:t xml:space="preserve">Each time BitLocker is enabled, the agent escrows the recovery key to the machine's inventory record. Recovery keys are retained as a full history and are never overwritten or discarded, so a key for any previous encryption state remains available to unlock old drives, images or backups. The PIN is the value carried forward; the recovery-key history is the safety net.</w:t>
      </w:r>
    </w:p>
    <w:p>
      <w:pPr>
        <w:spacing w:after="120" w:line="276"/>
      </w:pPr>
      <w:r>
        <w:rPr>
          <w:b/>
          <w:bCs/>
        </w:rPr>
        <w:t xml:space="preserve">Sensitivity. </w:t>
      </w:r>
      <w:r>
        <w:t xml:space="preserve">Both the PIN and the recovery keys are high-value secrets. They are stored encrypted at rest, access-controlled, and every retrieval is audited. See Section 10.</w:t>
      </w:r>
    </w:p>
    <w:p>
      <w:pPr>
        <w:pStyle w:val="Heading1"/>
      </w:pPr>
      <w:r>
        <w:t xml:space="preserve">9. Inventory</w:t>
      </w:r>
    </w:p>
    <w:p>
      <w:pPr>
        <w:spacing w:after="120" w:line="276"/>
      </w:pPr>
      <w:r>
        <w:t xml:space="preserve">Inventory is the record of every machine AutoDeploy has deployed and is the foundation of one-click re-imaging. Each known machine has a record keyed on its stable hardware identity (SMBIOS UUID, with serial as a secondary key).</w:t>
      </w:r>
    </w:p>
    <w:p>
      <w:pPr>
        <w:pStyle w:val="Heading2"/>
      </w:pPr>
      <w:r>
        <w:t xml:space="preserve">9.1 What a Machine Record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Element</w:t>
            </w:r>
          </w:p>
        </w:tc>
        <w:tc>
          <w:tcPr>
            <w:tcW w:type="dxa" w:w="46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Contents</w:t>
            </w:r>
          </w:p>
        </w:tc>
        <w:tc>
          <w:tcPr>
            <w:tcW w:type="dxa" w:w="30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Drives</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Identity</w:t>
            </w:r>
          </w:p>
        </w:tc>
        <w:tc>
          <w:tcPr>
            <w:tcW w:type="dxa" w:w="46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SMBIOS UUID, serial, make, model</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Recognition at PXE time; driver matching.</w:t>
            </w:r>
          </w:p>
        </w:tc>
      </w:tr>
      <w:tr>
        <w:trPr>
          <w:tblHeader w:val="false"/>
        </w:trPr>
        <w:tc>
          <w:tcPr>
            <w:tcW w:type="dxa" w:w="17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Binding</w:t>
            </w:r>
          </w:p>
        </w:tc>
        <w:tc>
          <w:tcPr>
            <w:tcW w:type="dxa" w:w="46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Assigned image configuration, machine name, target OU, group memberships, software assignment</w:t>
            </w:r>
          </w:p>
        </w:tc>
        <w:tc>
          <w:tcPr>
            <w:tcW w:type="dxa" w:w="30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Normal deployment and re-imaging (resolved against latest definitions).</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Deployment history</w:t>
            </w:r>
          </w:p>
        </w:tc>
        <w:tc>
          <w:tcPr>
            <w:tcW w:type="dxa" w:w="46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 dated record per deployment: configuration used, packages and outcomes, timestamp</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Audit, troubleshooting and compliance reporting.</w:t>
            </w:r>
          </w:p>
        </w:tc>
      </w:tr>
      <w:tr>
        <w:trPr>
          <w:tblHeader w:val="false"/>
        </w:trPr>
        <w:tc>
          <w:tcPr>
            <w:tcW w:type="dxa" w:w="17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Detected state</w:t>
            </w:r>
          </w:p>
        </w:tc>
        <w:tc>
          <w:tcPr>
            <w:tcW w:type="dxa" w:w="46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Results of detection-rule evaluation reported by the agent</w:t>
            </w:r>
          </w:p>
        </w:tc>
        <w:tc>
          <w:tcPr>
            <w:tcW w:type="dxa" w:w="30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Drift and compliance reporting against the assigned software set.</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BitLocker</w:t>
            </w:r>
          </w:p>
        </w:tc>
        <w:tc>
          <w:tcPr>
            <w:tcW w:type="dxa" w:w="46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Pre-boot PIN (if defined) and full recovery-key history for C:</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Opt-in encryption; PIN preserved across re-image; recovery never lost.</w:t>
            </w:r>
          </w:p>
        </w:tc>
      </w:tr>
    </w:tbl>
    <w:p>
      <w:pPr>
        <w:pStyle w:val="Heading2"/>
      </w:pPr>
      <w:r>
        <w:t xml:space="preserve">9.2 Re-Imaging from Inventory</w:t>
      </w:r>
    </w:p>
    <w:p>
      <w:pPr>
        <w:spacing w:after="120" w:line="276"/>
      </w:pPr>
      <w:r>
        <w:t xml:space="preserve">Because re-imaging resolves the bound configuration against current definitions, inventory does not need to store a replayable frozen image of past deployments for the core flow. The binding carries the machine's assignment and identity; the deployment history is a dated log for audit and troubleshooting rather than a manifest to be replayed. A true point-in-time forensic restore — reproducing exactly what was deployed at a past date — is noted as a possible future addition in Section 15, and would build on the deployment history rather than change the core schema.</w:t>
      </w:r>
    </w:p>
    <w:p>
      <w:pPr>
        <w:pStyle w:val="Heading1"/>
      </w:pPr>
      <w:r>
        <w:t xml:space="preserve">10. Security Model</w:t>
      </w:r>
    </w:p>
    <w:p>
      <w:pPr>
        <w:spacing w:after="120" w:line="276"/>
      </w:pPr>
      <w:r>
        <w:t xml:space="preserve">PXE-based imaging is destructive: a machine that boots into the deployment system can have its disk overwritten. Without a control, anyone able to network-boot a machine could wipe it. AutoDeploy addresses this with an optional global access PIN, alongside the general principle that the server is the sole authority.</w:t>
      </w:r>
    </w:p>
    <w:p>
      <w:pPr>
        <w:pStyle w:val="Heading2"/>
      </w:pPr>
      <w:r>
        <w:t xml:space="preserve">10.1 Global Access PIN</w:t>
      </w:r>
    </w:p>
    <w:p>
      <w:pPr>
        <w:pStyle w:val="ListParagraph"/>
        <w:numPr>
          <w:ilvl w:val="0"/>
          <w:numId w:val="2"/>
        </w:numPr>
        <w:spacing w:after="60" w:line="276"/>
      </w:pPr>
      <w:r>
        <w:rPr>
          <w:b/>
          <w:bCs/>
        </w:rPr>
        <w:t xml:space="preserve">Scope. </w:t>
      </w:r>
      <w:r>
        <w:t xml:space="preserve">The PIN is a single system-wide gate to the deployment front end, configured as a system setting and optionally enabled. When enabled, every machine that network-boots is challenged before any menu is shown; when disabled, the menu is presented immediately.</w:t>
      </w:r>
    </w:p>
    <w:p>
      <w:pPr>
        <w:pStyle w:val="ListParagraph"/>
        <w:numPr>
          <w:ilvl w:val="0"/>
          <w:numId w:val="2"/>
        </w:numPr>
        <w:spacing w:after="60" w:line="276"/>
      </w:pPr>
      <w:r>
        <w:rPr>
          <w:b/>
          <w:bCs/>
        </w:rPr>
        <w:t xml:space="preserve">Validation. </w:t>
      </w:r>
      <w:r>
        <w:t xml:space="preserve">The Boot Client collects the entered PIN and submits it to the API; the server authorises and only then returns menu and configuration data. The PIN is never validated on the client.</w:t>
      </w:r>
    </w:p>
    <w:p>
      <w:pPr>
        <w:pStyle w:val="ListParagraph"/>
        <w:numPr>
          <w:ilvl w:val="0"/>
          <w:numId w:val="2"/>
        </w:numPr>
        <w:spacing w:after="60" w:line="276"/>
      </w:pPr>
      <w:r>
        <w:rPr>
          <w:b/>
          <w:bCs/>
        </w:rPr>
        <w:t xml:space="preserve">Fail-safe behaviour. </w:t>
      </w:r>
      <w:r>
        <w:t xml:space="preserve">Three failed attempts cause the client to stop prompting and boot the machine normally from its existing OS. The failure mode is a normal boot, never unauthorised imaging.</w:t>
      </w:r>
    </w:p>
    <w:p>
      <w:pPr>
        <w:pStyle w:val="ListParagraph"/>
        <w:numPr>
          <w:ilvl w:val="0"/>
          <w:numId w:val="2"/>
        </w:numPr>
        <w:spacing w:after="60" w:line="276"/>
      </w:pPr>
      <w:r>
        <w:rPr>
          <w:b/>
          <w:bCs/>
        </w:rPr>
        <w:t xml:space="preserve">Brute-force protection. </w:t>
      </w:r>
      <w:r>
        <w:t xml:space="preserve">Because a PIN is short, the server rate-limits and locks out repeated failures keyed on machine identity, so the local three-attempt reset cannot be gamed by repeated reboots.</w:t>
      </w:r>
    </w:p>
    <w:p>
      <w:pPr>
        <w:pStyle w:val="Heading2"/>
      </w:pPr>
      <w:r>
        <w:t xml:space="preserve">10.2 Secret Store (PIN and Recovery Keys)</w:t>
      </w:r>
    </w:p>
    <w:p>
      <w:pPr>
        <w:spacing w:after="120" w:line="276"/>
      </w:pPr>
      <w:r>
        <w:t xml:space="preserve">Inventory holds two classes of high-value secret per machine: the BitLocker pre-boot PIN and the history of BitLocker recovery keys. This store is a high-value target and is treated accordingly: secrets are encrypted at rest, retrieval is available only to authenticated portal users, and every retrieval of a PIN or recovery key is recorded as an audit event — capturing who retrieved what and when, but never the secret value itself. Recovery-key history is append-only — keys are never overwritten — so a key for any prior encryption state can always be recovered.</w:t>
      </w:r>
    </w:p>
    <w:p>
      <w:pPr>
        <w:pStyle w:val="Heading2"/>
      </w:pPr>
      <w:r>
        <w:t xml:space="preserve">10.3 Bulk Operation Safety</w:t>
      </w:r>
    </w:p>
    <w:p>
      <w:pPr>
        <w:spacing w:after="120" w:line="276"/>
      </w:pPr>
      <w:r>
        <w:t xml:space="preserve">Bulk operations (Section 13) — particularly ad-hoc script execution — are powerful enough to affect large numbers of machines at once. Creating one requires an authenticated portal session, and every bulk action is audited: who created it, the target selection, the action, and the per-machine result. Because the portal does not use a graded permission model, this audit record is the primary accountability mechanism for the system's highest-risk capability — arbitrary remote script execution.</w:t>
      </w:r>
    </w:p>
    <w:p>
      <w:pPr>
        <w:pStyle w:val="Heading2"/>
      </w:pPr>
      <w:r>
        <w:t xml:space="preserve">10.4 Portal Authentication and Account Management</w:t>
      </w:r>
    </w:p>
    <w:p>
      <w:pPr>
        <w:spacing w:after="120" w:line="276"/>
      </w:pPr>
      <w:r>
        <w:t xml:space="preserve">Access to the management portal requires a username and password. AutoDeploy manages its own local accounts — there is no dependency on Active Directory for portal sign-in. Account management within the portal covers creating accounts, disabling and deleting them, and setting or resetting passwords.</w:t>
      </w:r>
    </w:p>
    <w:p>
      <w:pPr>
        <w:spacing w:after="120" w:line="276"/>
      </w:pPr>
      <w:r>
        <w:t xml:space="preserve">The portal does not implement a graded permission model: every authenticated user has full access to the portal's functions. Authentication itself is the access boundary. Because there are no role tiers, accountability for sensitive actions rests on the audit trail described in Section 11 — every privileged action is attributed to the user who performed it. This is a deliberate simplification for the initial release; a future revision may introduce roles if finer-grained control becomes necessary.</w:t>
      </w:r>
    </w:p>
    <w:p>
      <w:pPr>
        <w:pStyle w:val="Heading2"/>
      </w:pPr>
      <w:r>
        <w:t xml:space="preserve">10.5 Other Considerations</w:t>
      </w:r>
    </w:p>
    <w:p>
      <w:pPr>
        <w:pStyle w:val="ListParagraph"/>
        <w:numPr>
          <w:ilvl w:val="0"/>
          <w:numId w:val="2"/>
        </w:numPr>
        <w:spacing w:after="60" w:line="276"/>
      </w:pPr>
      <w:r>
        <w:t xml:space="preserve">All client-server traffic should be over HTTPS to protect payloads, the access PIN and escrowed secrets in transit.</w:t>
      </w:r>
    </w:p>
    <w:p>
      <w:pPr>
        <w:pStyle w:val="ListParagraph"/>
        <w:numPr>
          <w:ilvl w:val="0"/>
          <w:numId w:val="2"/>
        </w:numPr>
        <w:spacing w:after="60" w:line="276"/>
      </w:pPr>
      <w:r>
        <w:t xml:space="preserve">The AD service account should hold only the directory rights it needs for computer-object lifecycle and group management.</w:t>
      </w:r>
    </w:p>
    <w:p>
      <w:pPr>
        <w:pStyle w:val="ListParagraph"/>
        <w:numPr>
          <w:ilvl w:val="0"/>
          <w:numId w:val="2"/>
        </w:numPr>
        <w:spacing w:after="60" w:line="276"/>
      </w:pPr>
      <w:r>
        <w:t xml:space="preserve">Account passwords are stored only as salted hashes, never in plaintext or in logs.</w:t>
      </w:r>
    </w:p>
    <w:p>
      <w:pPr>
        <w:pStyle w:val="Heading1"/>
      </w:pPr>
      <w:r>
        <w:t xml:space="preserve">11. Logging and Auditing</w:t>
      </w:r>
    </w:p>
    <w:p>
      <w:pPr>
        <w:spacing w:after="120" w:line="276"/>
      </w:pPr>
      <w:r>
        <w:t xml:space="preserve">Detailed logging is a system-wide requirement: every component of AutoDeploy logs its activity in detail. Logging is treated as a cross-cutting concern rather than a per-component afterthought, because the value of the logs — for troubleshooting a failed deployment and for accountability — depends on their being complete and consistent across the whole system.</w:t>
      </w:r>
    </w:p>
    <w:p>
      <w:pPr>
        <w:pStyle w:val="Heading2"/>
      </w:pPr>
      <w:r>
        <w:t xml:space="preserve">11.1 Principle</w:t>
      </w:r>
    </w:p>
    <w:p>
      <w:pPr>
        <w:spacing w:after="120" w:line="276"/>
      </w:pPr>
      <w:r>
        <w:t xml:space="preserve">Every logged event records who, what, where and when:</w:t>
      </w:r>
    </w:p>
    <w:p>
      <w:pPr>
        <w:pStyle w:val="ListParagraph"/>
        <w:numPr>
          <w:ilvl w:val="0"/>
          <w:numId w:val="2"/>
        </w:numPr>
        <w:spacing w:after="60" w:line="276"/>
      </w:pPr>
      <w:r>
        <w:rPr>
          <w:b/>
          <w:bCs/>
        </w:rPr>
        <w:t xml:space="preserve">Who — </w:t>
      </w:r>
      <w:r>
        <w:t xml:space="preserve">the acting identity: a portal user account, or a machine identity (SMBIOS UUID) for client-side events.</w:t>
      </w:r>
    </w:p>
    <w:p>
      <w:pPr>
        <w:pStyle w:val="ListParagraph"/>
        <w:numPr>
          <w:ilvl w:val="0"/>
          <w:numId w:val="2"/>
        </w:numPr>
        <w:spacing w:after="60" w:line="276"/>
      </w:pPr>
      <w:r>
        <w:rPr>
          <w:b/>
          <w:bCs/>
        </w:rPr>
        <w:t xml:space="preserve">What — </w:t>
      </w:r>
      <w:r>
        <w:t xml:space="preserve">the action taken and its outcome (success or failure, with detail).</w:t>
      </w:r>
    </w:p>
    <w:p>
      <w:pPr>
        <w:pStyle w:val="ListParagraph"/>
        <w:numPr>
          <w:ilvl w:val="0"/>
          <w:numId w:val="2"/>
        </w:numPr>
        <w:spacing w:after="60" w:line="276"/>
      </w:pPr>
      <w:r>
        <w:rPr>
          <w:b/>
          <w:bCs/>
        </w:rPr>
        <w:t xml:space="preserve">Where — </w:t>
      </w:r>
      <w:r>
        <w:t xml:space="preserve">the component that produced the event and the target it acted on (machine, image, object).</w:t>
      </w:r>
    </w:p>
    <w:p>
      <w:pPr>
        <w:pStyle w:val="ListParagraph"/>
        <w:numPr>
          <w:ilvl w:val="0"/>
          <w:numId w:val="2"/>
        </w:numPr>
        <w:spacing w:after="60" w:line="276"/>
      </w:pPr>
      <w:r>
        <w:rPr>
          <w:b/>
          <w:bCs/>
        </w:rPr>
        <w:t xml:space="preserve">When — </w:t>
      </w:r>
      <w:r>
        <w:t xml:space="preserve">a timestamp.</w:t>
      </w:r>
    </w:p>
    <w:p>
      <w:pPr>
        <w:pStyle w:val="Heading2"/>
      </w:pPr>
      <w:r>
        <w:t xml:space="preserve">11.2 Centralised Collection</w:t>
      </w:r>
    </w:p>
    <w:p>
      <w:pPr>
        <w:spacing w:after="120" w:line="276"/>
      </w:pPr>
      <w:r>
        <w:t xml:space="preserve">Components ship their logs back to the AutoDeploy server, where they are viewable and searchable from the portal. This includes the Boot Client and the agent, so a deployment that failed on a target machine can be diagnosed centrally without physical access to that machine — the Boot Client uploads its run log at the end of a deployment, and the resident agent reports its activity on check-in.</w:t>
      </w:r>
    </w:p>
    <w:p>
      <w:pPr>
        <w:pStyle w:val="Heading2"/>
      </w:pPr>
      <w:r>
        <w:t xml:space="preserve">11.3 What Each Component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Logged activity</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Management Portal</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Logins and account management; every create, edit and delete of images, artifacts, loadouts, bindings and system settings; initiation of deployments and bulk operations.</w:t>
            </w:r>
          </w:p>
        </w:tc>
      </w:tr>
      <w:tr>
        <w:trPr>
          <w:tblHeader w:val="false"/>
        </w:trPr>
        <w:tc>
          <w:tcPr>
            <w:tcW w:type="dxa" w:w="2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HTTP API</w:t>
            </w:r>
          </w:p>
        </w:tc>
        <w:tc>
          <w:tcPr>
            <w:tcW w:type="dxa" w:w="67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Identity submissions, PIN-validation attempts and outcomes, configuration resolution, and payload fetches.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Boot Client</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Identity read, access result, the selected configuration, and each imaging step with its outcome.</w:t>
            </w:r>
          </w:p>
        </w:tc>
      </w:tr>
      <w:tr>
        <w:trPr>
          <w:tblHeader w:val="false"/>
        </w:trPr>
        <w:tc>
          <w:tcPr>
            <w:tcW w:type="dxa" w:w="2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Deployment Client (Agent)</w:t>
            </w:r>
          </w:p>
        </w:tc>
        <w:tc>
          <w:tcPr>
            <w:tcW w:type="dxa" w:w="67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Per-package install steps and results, detection outcomes, BitLocker actions, check-ins, and bulk-job execution and results.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Domain Integration Service</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Computer-object lifecycle operations (create, delete, rename) and group-membership changes.</w:t>
            </w:r>
          </w:p>
        </w:tc>
      </w:tr>
    </w:tbl>
    <w:p>
      <w:pPr>
        <w:pStyle w:val="Heading2"/>
      </w:pPr>
      <w:r>
        <w:t xml:space="preserve">11.4 Sensitive Data</w:t>
      </w:r>
    </w:p>
    <w:p>
      <w:pPr>
        <w:spacing w:after="120" w:line="276"/>
      </w:pPr>
      <w:r>
        <w:t xml:space="preserve">Logs never contain sensitive values. BitLocker PINs and recovery keys, the deployment access PIN, and account passwords are never written to any log under any circumstances. Access to a secret is itself a logged event — recording who retrieved which secret and when — but the secret value is never included. This rule is absolute and overrides the general principle of detailed logging.</w:t>
      </w:r>
    </w:p>
    <w:p>
      <w:pPr>
        <w:pStyle w:val="Heading2"/>
      </w:pPr>
      <w:r>
        <w:t xml:space="preserve">11.5 Retention</w:t>
      </w:r>
    </w:p>
    <w:p>
      <w:pPr>
        <w:spacing w:after="120" w:line="276"/>
      </w:pPr>
      <w:r>
        <w:t xml:space="preserve">Log retention is a configurable system setting, allowing the retention period to be aligned with the operating organisation's policy.</w:t>
      </w:r>
    </w:p>
    <w:p>
      <w:pPr>
        <w:pStyle w:val="Heading1"/>
      </w:pPr>
      <w:r>
        <w:t xml:space="preserve">12. Branding</w:t>
      </w:r>
    </w:p>
    <w:p>
      <w:pPr>
        <w:spacing w:after="120" w:line="276"/>
      </w:pPr>
      <w:r>
        <w:t xml:space="preserve">AutoDeploy applies a single, system-wide organisational brand — one identity configured once and reused everywhere, rather than per-image or per-tenant branding. The brand is configured in the portal's system settings and applied across three surfaces:</w:t>
      </w:r>
    </w:p>
    <w:p>
      <w:pPr>
        <w:pStyle w:val="ListParagraph"/>
        <w:numPr>
          <w:ilvl w:val="0"/>
          <w:numId w:val="2"/>
        </w:numPr>
        <w:spacing w:after="60" w:line="276"/>
      </w:pPr>
      <w:r>
        <w:rPr>
          <w:b/>
          <w:bCs/>
        </w:rPr>
        <w:t xml:space="preserve">The management portal — </w:t>
      </w:r>
      <w:r>
        <w:t xml:space="preserve">logo, colour scheme and product name shown to operators.</w:t>
      </w:r>
    </w:p>
    <w:p>
      <w:pPr>
        <w:pStyle w:val="ListParagraph"/>
        <w:numPr>
          <w:ilvl w:val="0"/>
          <w:numId w:val="2"/>
        </w:numPr>
        <w:spacing w:after="60" w:line="276"/>
      </w:pPr>
      <w:r>
        <w:rPr>
          <w:b/>
          <w:bCs/>
        </w:rPr>
        <w:t xml:space="preserve">The boot screen — </w:t>
      </w:r>
      <w:r>
        <w:t xml:space="preserve">the organisation's logo and name shown on the Boot Client menu and the access-PIN prompt.</w:t>
      </w:r>
    </w:p>
    <w:p>
      <w:pPr>
        <w:pStyle w:val="ListParagraph"/>
        <w:numPr>
          <w:ilvl w:val="0"/>
          <w:numId w:val="2"/>
        </w:numPr>
        <w:spacing w:after="60" w:line="276"/>
      </w:pPr>
      <w:r>
        <w:rPr>
          <w:b/>
          <w:bCs/>
        </w:rPr>
        <w:t xml:space="preserve">The deployed machine — </w:t>
      </w:r>
      <w:r>
        <w:t xml:space="preserve">OEM information written into Windows (manufacturer name, logo and support URL), and optionally lock-screen and wallpaper assets, so provisioned machines carry the organisation's identity.</w:t>
      </w:r>
    </w:p>
    <w:p>
      <w:pPr>
        <w:spacing w:after="120" w:line="276"/>
      </w:pPr>
      <w:r>
        <w:t xml:space="preserve">Because branding is system-wide, the brand assets are part of system configuration and are not attached to individual images or loadouts.</w:t>
      </w:r>
    </w:p>
    <w:p>
      <w:pPr>
        <w:pStyle w:val="Heading1"/>
      </w:pPr>
      <w:r>
        <w:t xml:space="preserve">13. Bulk Operations</w:t>
      </w:r>
    </w:p>
    <w:p>
      <w:pPr>
        <w:spacing w:after="120" w:line="276"/>
      </w:pPr>
      <w:r>
        <w:t xml:space="preserve">Beyond initial deployment, AutoDeploy manages already-deployed machines in bulk through the resident agent. An operator defines a bulk operation in the portal: a target selection, an action, and a schedule. The server resolves the selection to a set of machines, queues a per-machine job for each, and the agents execute their jobs silently on their next check-in (Section 8.1.2), reporting results back for audit.</w:t>
      </w:r>
    </w:p>
    <w:p>
      <w:pPr>
        <w:pStyle w:val="Heading2"/>
      </w:pPr>
      <w:r>
        <w:t xml:space="preserve">13.1 Targeting</w:t>
      </w:r>
    </w:p>
    <w:p>
      <w:pPr>
        <w:spacing w:after="120" w:line="276"/>
      </w:pPr>
      <w:r>
        <w:t xml:space="preserve">Target sets are defined using Active-Directory-centric criteria, reflecting that managed machines are domain-joined. The criteria are combinable:</w:t>
      </w:r>
    </w:p>
    <w:p>
      <w:pPr>
        <w:pStyle w:val="ListParagraph"/>
        <w:numPr>
          <w:ilvl w:val="0"/>
          <w:numId w:val="2"/>
        </w:numPr>
        <w:spacing w:after="60" w:line="276"/>
      </w:pPr>
      <w:r>
        <w:rPr>
          <w:b/>
          <w:bCs/>
        </w:rPr>
        <w:t xml:space="preserve">Name regex — </w:t>
      </w:r>
      <w:r>
        <w:t xml:space="preserve">match machines whose name matches a regular expression.</w:t>
      </w:r>
    </w:p>
    <w:p>
      <w:pPr>
        <w:pStyle w:val="ListParagraph"/>
        <w:numPr>
          <w:ilvl w:val="0"/>
          <w:numId w:val="2"/>
        </w:numPr>
        <w:spacing w:after="60" w:line="276"/>
      </w:pPr>
      <w:r>
        <w:rPr>
          <w:b/>
          <w:bCs/>
        </w:rPr>
        <w:t xml:space="preserve">Organisational Unit — </w:t>
      </w:r>
      <w:r>
        <w:t xml:space="preserve">match machines within a given OU.</w:t>
      </w:r>
    </w:p>
    <w:p>
      <w:pPr>
        <w:pStyle w:val="ListParagraph"/>
        <w:numPr>
          <w:ilvl w:val="0"/>
          <w:numId w:val="2"/>
        </w:numPr>
        <w:spacing w:after="60" w:line="276"/>
      </w:pPr>
      <w:r>
        <w:rPr>
          <w:b/>
          <w:bCs/>
        </w:rPr>
        <w:t xml:space="preserve">AD group — </w:t>
      </w:r>
      <w:r>
        <w:t xml:space="preserve">match machines that are members of a given group.</w:t>
      </w:r>
    </w:p>
    <w:p>
      <w:pPr>
        <w:spacing w:after="120" w:line="276"/>
      </w:pPr>
      <w:r>
        <w:t xml:space="preserve">The resolved set should be previewable before the operation runs, so an operator can confirm exactly which machines an action will touch.</w:t>
      </w:r>
    </w:p>
    <w:p>
      <w:pPr>
        <w:pStyle w:val="Heading2"/>
      </w:pPr>
      <w:r>
        <w:t xml:space="preserve">13.2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Action</w:t>
            </w:r>
          </w:p>
        </w:tc>
        <w:tc>
          <w:tcPr>
            <w:tcW w:type="dxa" w:w="66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Behaviour</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Bulk rename</w:t>
            </w:r>
          </w:p>
        </w:tc>
        <w:tc>
          <w:tcPr>
            <w:tcW w:type="dxa" w:w="66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Rename each targeted machine. For domain-joined machines this is coordinated with the Domain Integration Service to update the computer object, and triggers a reboot; the sequence is rename → directory update → reboot.</w:t>
            </w:r>
          </w:p>
        </w:tc>
      </w:tr>
      <w:tr>
        <w:trPr>
          <w:tblHeader w:val="false"/>
        </w:trPr>
        <w:tc>
          <w:tcPr>
            <w:tcW w:type="dxa" w:w="27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Bulk software deployment</w:t>
            </w:r>
          </w:p>
        </w:tc>
        <w:tc>
          <w:tcPr>
            <w:tcW w:type="dxa" w:w="66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Push one or more SoftwarePackages to the targeted machines. The agent reuses detection rules and ordered install steps, so the push is idempotent — machines already compliant are skipped.</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Bulk run command / script</w:t>
            </w:r>
          </w:p>
        </w:tc>
        <w:tc>
          <w:tcPr>
            <w:tcW w:type="dxa" w:w="66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Execute an ad-hoc CMD or PowerShell action on the targeted machines. This is the highest-risk action; it requires an authenticated session and is fully audited (see Section 10.3).</w:t>
            </w:r>
          </w:p>
        </w:tc>
      </w:tr>
    </w:tbl>
    <w:p>
      <w:pPr>
        <w:pStyle w:val="Heading2"/>
      </w:pPr>
      <w:r>
        <w:t xml:space="preserve">13.3 Jobs and Reporting</w:t>
      </w:r>
    </w:p>
    <w:p>
      <w:pPr>
        <w:spacing w:after="120" w:line="276"/>
      </w:pPr>
      <w:r>
        <w:t xml:space="preserve">Each bulk operation produces one job per targeted machine. Jobs are queued server-side and delivered to agents on check-in, so machines that are offline simply pick up their jobs when they next appear. Per-machine results — success, failure and output — are reported back and retained against both the operation and the machine's record, giving a complete audit trail of what was run where.</w:t>
      </w:r>
    </w:p>
    <w:p>
      <w:pPr>
        <w:pStyle w:val="Heading1"/>
      </w:pPr>
      <w:r>
        <w:t xml:space="preserve">14. API Surface (Indicative)</w:t>
      </w:r>
    </w:p>
    <w:p>
      <w:pPr>
        <w:spacing w:after="120" w:line="276"/>
      </w:pPr>
      <w:r>
        <w:t xml:space="preserve">The HTTP API is the contract between the clients and the server. The endpoints below are indicative rather than final; they capture the interactions the lifecycle requires and will be specified fully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Interaction</w:t>
            </w:r>
          </w:p>
        </w:tc>
        <w:tc>
          <w:tcPr>
            <w:tcW w:type="dxa" w:w="15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Used by</w:t>
            </w:r>
          </w:p>
        </w:tc>
        <w:tc>
          <w:tcPr>
            <w:tcW w:type="dxa" w:w="55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Purpose</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Submit identity</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Boot Client</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Report SMBIOS attributes; establish whether the machine is recognised.</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Validate PIN</w:t>
            </w:r>
          </w:p>
        </w:tc>
        <w:tc>
          <w:tcPr>
            <w:tcW w:type="dxa" w:w="15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Boot Client</w:t>
            </w:r>
          </w:p>
        </w:tc>
        <w:tc>
          <w:tcPr>
            <w:tcW w:type="dxa" w:w="55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Authorise access to the deployment front end.</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Get menu</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Boot Client</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Return deployable configurations and, for recognised machines, the re-image option.</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Resolve configuration</w:t>
            </w:r>
          </w:p>
        </w:tc>
        <w:tc>
          <w:tcPr>
            <w:tcW w:type="dxa" w:w="15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Boot Client</w:t>
            </w:r>
          </w:p>
        </w:tc>
        <w:tc>
          <w:tcPr>
            <w:tcW w:type="dxa" w:w="55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Given a selection and identity, return the payload manifest (ISO/WIM, unattend, matched drivers).</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Fetch payload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Boot Client</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Download WIM/ESD, driver packages and the generated unattend over HTTP.</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Get software set</w:t>
            </w:r>
          </w:p>
        </w:tc>
        <w:tc>
          <w:tcPr>
            <w:tcW w:type="dxa" w:w="15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Agent</w:t>
            </w:r>
          </w:p>
        </w:tc>
        <w:tc>
          <w:tcPr>
            <w:tcW w:type="dxa" w:w="55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Return the effective ordered software list for the machine.</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Check in / get jobs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Agent</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Poll for queued bulk jobs (rename, software push, script) and report progress.</w:t>
            </w:r>
          </w:p>
        </w:tc>
      </w:tr>
      <w:tr>
        <w:trPr>
          <w:tblHeader w:val="false"/>
        </w:trPr>
        <w:tc>
          <w:tcPr>
            <w:tcW w:type="dxa" w:w="23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Escrow BitLocker</w:t>
            </w:r>
          </w:p>
        </w:tc>
        <w:tc>
          <w:tcPr>
            <w:tcW w:type="dxa" w:w="15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Agent</w:t>
            </w:r>
          </w:p>
        </w:tc>
        <w:tc>
          <w:tcPr>
            <w:tcW w:type="dxa" w:w="55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Submit the recovery key on encryption; retrieve the assigned PIN for re-image.</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Report inventory</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Agent</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Submit install outcomes, detected state and inventory; update binding and history.</w:t>
            </w:r>
          </w:p>
        </w:tc>
      </w:tr>
    </w:tbl>
    <w:p>
      <w:pPr>
        <w:pStyle w:val="Heading1"/>
      </w:pPr>
      <w:r>
        <w:t xml:space="preserve">15. Open Questions and Deferred Decisions</w:t>
      </w:r>
    </w:p>
    <w:p>
      <w:pPr>
        <w:spacing w:after="120" w:line="276"/>
      </w:pPr>
      <w:r>
        <w:t xml:space="preserve">The following items are intentionally unresolved at this stage and are recorded so they are not lost. They do not block the architecture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5600"/>
      </w:tblGrid>
      <w:tr>
        <w:trPr>
          <w:tblHeader/>
        </w:trPr>
        <w:tc>
          <w:tcPr>
            <w:tcW w:type="dxa" w:w="6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w:t>
            </w:r>
          </w:p>
        </w:tc>
        <w:tc>
          <w:tcPr>
            <w:tcW w:type="dxa" w:w="316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Item</w:t>
            </w:r>
          </w:p>
        </w:tc>
        <w:tc>
          <w:tcPr>
            <w:tcW w:type="dxa" w:w="5600"/>
            <w:tcBorders>
              <w:top w:val="single" w:color="BBBBBB" w:sz="1"/>
              <w:left w:val="single" w:color="BBBBBB" w:sz="1"/>
              <w:bottom w:val="single" w:color="BBBBBB" w:sz="1"/>
              <w:right w:val="single" w:color="BBBBBB" w:sz="1"/>
            </w:tcBorders>
            <w:shd w:fill="2E75B6" w:val="clear"/>
            <w:tcMar>
              <w:top w:type="dxa" w:w="60"/>
              <w:left w:type="dxa" w:w="120"/>
              <w:bottom w:type="dxa" w:w="60"/>
              <w:right w:type="dxa" w:w="120"/>
            </w:tcMar>
            <w:vAlign w:val="center"/>
          </w:tcPr>
          <w:p>
            <w:pPr>
              <w:spacing w:after="0" w:line="252"/>
            </w:pPr>
            <w:r>
              <w:rPr>
                <w:b/>
                <w:bCs/>
                <w:color w:val="FFFFFF"/>
                <w:sz w:val="20"/>
                <w:szCs w:val="20"/>
              </w:rPr>
              <w:t xml:space="preserve">Notes</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1</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Server technology stack</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Language and framework for the management application and API are undecided; to be proposed with rationale.</w:t>
            </w:r>
          </w:p>
        </w:tc>
      </w:tr>
      <w:tr>
        <w:trPr>
          <w:tblHeader w:val="false"/>
        </w:trPr>
        <w:tc>
          <w:tcPr>
            <w:tcW w:type="dxa" w:w="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2</w:t>
            </w:r>
          </w:p>
        </w:tc>
        <w:tc>
          <w:tcPr>
            <w:tcW w:type="dxa" w:w="31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Server deployment topology</w:t>
            </w:r>
          </w:p>
        </w:tc>
        <w:tc>
          <w:tcPr>
            <w:tcW w:type="dxa" w:w="5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Single server vs. distributed site servers for multi-site scale and payload locality.</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3</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SCCM package format</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Exact SCCM package type(s) accepted for driver ingest to be confirmed so the parser can be specified.</w:t>
            </w:r>
          </w:p>
        </w:tc>
      </w:tr>
      <w:tr>
        <w:trPr>
          <w:tblHeader w:val="false"/>
        </w:trPr>
        <w:tc>
          <w:tcPr>
            <w:tcW w:type="dxa" w:w="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4</w:t>
            </w:r>
          </w:p>
        </w:tc>
        <w:tc>
          <w:tcPr>
            <w:tcW w:type="dxa" w:w="31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Portal roles</w:t>
            </w:r>
          </w:p>
        </w:tc>
        <w:tc>
          <w:tcPr>
            <w:tcW w:type="dxa" w:w="5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Authentication is local username/password with full access for all users (Section 10.4). Graded roles/permissions are deferred and may be introduced later if finer-grained control is needed.</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Point-in-time restore</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Optional future capability to reproduce a past deployment exactly, built on deployment history.</w:t>
            </w:r>
          </w:p>
        </w:tc>
      </w:tr>
      <w:tr>
        <w:trPr>
          <w:tblHeader w:val="false"/>
        </w:trPr>
        <w:tc>
          <w:tcPr>
            <w:tcW w:type="dxa" w:w="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6</w:t>
            </w:r>
          </w:p>
        </w:tc>
        <w:tc>
          <w:tcPr>
            <w:tcW w:type="dxa" w:w="316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Non-Windows targets</w:t>
            </w:r>
          </w:p>
        </w:tc>
        <w:tc>
          <w:tcPr>
            <w:tcW w:type="dxa" w:w="5600"/>
            <w:tcBorders>
              <w:top w:val="single" w:color="BBBBBB" w:sz="1"/>
              <w:left w:val="single" w:color="BBBBBB" w:sz="1"/>
              <w:bottom w:val="single" w:color="BBBBBB" w:sz="1"/>
              <w:right w:val="single" w:color="BBBBBB" w:sz="1"/>
            </w:tcBorders>
            <w:shd w:fill="EAF1F8" w:val="clear"/>
            <w:tcMar>
              <w:top w:type="dxa" w:w="60"/>
              <w:left w:type="dxa" w:w="120"/>
              <w:bottom w:type="dxa" w:w="60"/>
              <w:right w:type="dxa" w:w="120"/>
            </w:tcMar>
            <w:vAlign w:val="center"/>
          </w:tcPr>
          <w:p>
            <w:pPr>
              <w:spacing w:after="0" w:line="252"/>
            </w:pPr>
            <w:r>
              <w:rPr>
                <w:b w:val="false"/>
                <w:bCs w:val="false"/>
                <w:sz w:val="20"/>
                <w:szCs w:val="20"/>
              </w:rPr>
              <w:t xml:space="preserve">Linux/macOS imaging is out of scope now; the architecture should not preclude it later.</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7</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Multicast / bandwidth</w:t>
            </w:r>
          </w:p>
        </w:tc>
        <w:tc>
          <w:tcPr>
            <w:tcW w:type="dxa" w:w="5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spacing w:after="0" w:line="252"/>
            </w:pPr>
            <w:r>
              <w:rPr>
                <w:b w:val="false"/>
                <w:bCs w:val="false"/>
                <w:sz w:val="20"/>
                <w:szCs w:val="20"/>
              </w:rPr>
              <w:t xml:space="preserve">Whether large rollouts need a bandwidth-optimisation strategy over pure unicast HTTP.</w:t>
            </w:r>
          </w:p>
        </w:tc>
      </w:tr>
    </w:tbl>
    <w:p>
      <w:pPr>
        <w:pBdr>
          <w:bottom w:val="single" w:color="2E75B6" w:sz="6" w:space="1"/>
        </w:pBdr>
        <w:spacing w:after="120"/>
      </w:pPr>
      <w:r>
        <w:t xml:space="preserve"/>
      </w:r>
    </w:p>
    <w:p>
      <w:pPr>
        <w:spacing w:before="120"/>
      </w:pPr>
      <w:r>
        <w:rPr>
          <w:i/>
          <w:iCs/>
          <w:color w:val="595959"/>
        </w:rPr>
        <w:t xml:space="preserve">End of document — Version 0.1, Draft for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95959"/>
        <w:sz w:val="16"/>
        <w:szCs w:val="16"/>
      </w:rPr>
      <w:t xml:space="preserve">Confidential — Draft v0.1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AutoDeploy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AutoDeploy — Software Design Document</dc:title>
  <dc:creator>AutoDeploy Engineering</dc:creator>
  <cp:lastModifiedBy>Un-named</cp:lastModifiedBy>
  <cp:revision>1</cp:revision>
  <dcterms:created xsi:type="dcterms:W3CDTF">2026-05-28T15:32:48.877Z</dcterms:created>
  <dcterms:modified xsi:type="dcterms:W3CDTF">2026-05-28T15:32:48.877Z</dcterms:modified>
</cp:coreProperties>
</file>

<file path=docProps/custom.xml><?xml version="1.0" encoding="utf-8"?>
<Properties xmlns="http://schemas.openxmlformats.org/officeDocument/2006/custom-properties" xmlns:vt="http://schemas.openxmlformats.org/officeDocument/2006/docPropsVTypes"/>
</file>