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FCF17" w14:textId="789181D8" w:rsidR="008A7E6B" w:rsidRDefault="00D73EC4" w:rsidP="00D73EC4">
      <w:pPr>
        <w:pStyle w:val="1"/>
      </w:pPr>
      <w:r>
        <w:t>Сложное предложение</w:t>
      </w:r>
    </w:p>
    <w:p w14:paraId="51B727CA" w14:textId="59B19CAC" w:rsidR="00950713" w:rsidRPr="00950713" w:rsidRDefault="00D73EC4" w:rsidP="00D73EC4">
      <w:r>
        <w:t xml:space="preserve">1. </w:t>
      </w:r>
      <w:r w:rsidR="00950713">
        <w:t xml:space="preserve">Сложное предложение – это несколько простых, но объединенных в одно. Такое объединение означает, что в предложении несколько подлежащих и сказуемых. </w:t>
      </w:r>
      <w:r w:rsidR="00950713">
        <w:rPr>
          <w:rFonts w:hint="cs"/>
        </w:rPr>
        <w:t>Н</w:t>
      </w:r>
      <w:r w:rsidR="00950713">
        <w:t>аша задача найти эти простые предложения, связать их вместе.</w:t>
      </w:r>
    </w:p>
    <w:p w14:paraId="52306710" w14:textId="23A544AE" w:rsidR="00D73EC4" w:rsidRDefault="009A2678" w:rsidP="00D73EC4">
      <w:r>
        <w:t>2</w:t>
      </w:r>
      <w:r w:rsidR="00D73EC4">
        <w:t>.</w:t>
      </w:r>
      <w:r w:rsidR="00AC69BF" w:rsidRPr="00AC69BF">
        <w:t xml:space="preserve"> Сложное предложение образуется соединением двух и более простых. Это означает, что в таком предложении несколько сказуемых, подлежащих. Такие предложения как могут соединяться союзами, так и соединяться без использования союзов.</w:t>
      </w:r>
      <w:r w:rsidR="00AC69BF">
        <w:t xml:space="preserve"> </w:t>
      </w:r>
    </w:p>
    <w:p w14:paraId="261CDF0E" w14:textId="22937A60" w:rsidR="007A15B3" w:rsidRDefault="007A15B3" w:rsidP="00D73EC4">
      <w:r>
        <w:t xml:space="preserve">В сложноподчиненном предложении одно из простых является главным, а другое – придаточным. Союзок к главному предложению присоединяется именно придаточное. </w:t>
      </w:r>
    </w:p>
    <w:p w14:paraId="1F355056" w14:textId="77777777" w:rsidR="00C5211F" w:rsidRPr="00766A51" w:rsidRDefault="009A2678" w:rsidP="00C5211F">
      <w:pPr>
        <w:rPr>
          <w:rFonts w:eastAsia="Aptos" w:cs="Times New Roman"/>
          <w14:ligatures w14:val="none"/>
        </w:rPr>
      </w:pPr>
      <w:r>
        <w:t>3</w:t>
      </w:r>
      <w:r w:rsidR="00D73EC4">
        <w:t>.</w:t>
      </w:r>
      <w:r w:rsidR="00D73EC4" w:rsidRPr="00D73EC4">
        <w:t xml:space="preserve"> </w:t>
      </w:r>
      <w:r w:rsidR="00C5211F" w:rsidRPr="00766A51">
        <w:rPr>
          <w:rFonts w:eastAsia="Aptos" w:cs="Times New Roman"/>
          <w14:ligatures w14:val="none"/>
        </w:rPr>
        <w:t>Самые популярные союзы</w:t>
      </w:r>
      <w:r w:rsidR="00C5211F">
        <w:rPr>
          <w:rFonts w:eastAsia="Aptos" w:cs="Times New Roman"/>
          <w14:ligatures w14:val="none"/>
        </w:rPr>
        <w:t>, которые используют при построении сложных предложений.</w:t>
      </w:r>
    </w:p>
    <w:tbl>
      <w:tblPr>
        <w:tblStyle w:val="23"/>
        <w:tblW w:w="9351" w:type="dxa"/>
        <w:tblLook w:val="04A0" w:firstRow="1" w:lastRow="0" w:firstColumn="1" w:lastColumn="0" w:noHBand="0" w:noVBand="1"/>
      </w:tblPr>
      <w:tblGrid>
        <w:gridCol w:w="988"/>
        <w:gridCol w:w="4394"/>
        <w:gridCol w:w="3969"/>
      </w:tblGrid>
      <w:tr w:rsidR="00AC69BF" w:rsidRPr="00766A51" w14:paraId="14AE19ED" w14:textId="77777777" w:rsidTr="00AC69BF">
        <w:tc>
          <w:tcPr>
            <w:tcW w:w="988" w:type="dxa"/>
            <w:vAlign w:val="center"/>
          </w:tcPr>
          <w:p w14:paraId="5B57AE6F" w14:textId="77777777" w:rsidR="00AC69BF" w:rsidRPr="00766A51" w:rsidRDefault="00AC69BF" w:rsidP="00C55A04">
            <w:pPr>
              <w:spacing w:line="259" w:lineRule="auto"/>
              <w:rPr>
                <w:rFonts w:eastAsia="Aptos" w:cs="Times New Roman"/>
                <w:i/>
                <w:iCs/>
                <w:sz w:val="24"/>
                <w:szCs w:val="24"/>
              </w:rPr>
            </w:pPr>
            <w:r w:rsidRPr="00766A51">
              <w:rPr>
                <w:rFonts w:eastAsia="Aptos" w:cs="Times New Roman"/>
                <w:i/>
                <w:iCs/>
                <w:sz w:val="24"/>
                <w:szCs w:val="24"/>
              </w:rPr>
              <w:t>Союз</w:t>
            </w:r>
          </w:p>
        </w:tc>
        <w:tc>
          <w:tcPr>
            <w:tcW w:w="4394" w:type="dxa"/>
            <w:vAlign w:val="center"/>
          </w:tcPr>
          <w:p w14:paraId="1D58E615" w14:textId="77777777" w:rsidR="00AC69BF" w:rsidRPr="00766A51" w:rsidRDefault="00AC69BF" w:rsidP="00C55A04">
            <w:pPr>
              <w:spacing w:line="259" w:lineRule="auto"/>
              <w:rPr>
                <w:rFonts w:eastAsia="Aptos" w:cs="Times New Roman"/>
                <w:i/>
                <w:iCs/>
                <w:sz w:val="24"/>
                <w:szCs w:val="24"/>
              </w:rPr>
            </w:pPr>
            <w:r w:rsidRPr="00766A51">
              <w:rPr>
                <w:rFonts w:eastAsia="Aptos" w:cs="Times New Roman"/>
                <w:i/>
                <w:iCs/>
                <w:sz w:val="24"/>
                <w:szCs w:val="24"/>
              </w:rPr>
              <w:t>Пример</w:t>
            </w:r>
          </w:p>
        </w:tc>
        <w:tc>
          <w:tcPr>
            <w:tcW w:w="3969" w:type="dxa"/>
            <w:vAlign w:val="center"/>
          </w:tcPr>
          <w:p w14:paraId="767F8213" w14:textId="77777777" w:rsidR="00AC69BF" w:rsidRPr="00766A51" w:rsidRDefault="00AC69BF" w:rsidP="00C55A04">
            <w:pPr>
              <w:spacing w:line="259" w:lineRule="auto"/>
              <w:rPr>
                <w:rFonts w:eastAsia="Aptos" w:cs="Times New Roman"/>
                <w:i/>
                <w:iCs/>
                <w:sz w:val="24"/>
                <w:szCs w:val="24"/>
              </w:rPr>
            </w:pPr>
            <w:r w:rsidRPr="00766A51">
              <w:rPr>
                <w:rFonts w:eastAsia="Aptos" w:cs="Times New Roman"/>
                <w:i/>
                <w:iCs/>
                <w:sz w:val="24"/>
                <w:szCs w:val="24"/>
              </w:rPr>
              <w:t>Перевод</w:t>
            </w:r>
          </w:p>
        </w:tc>
      </w:tr>
      <w:tr w:rsidR="00AC69BF" w:rsidRPr="00766A51" w14:paraId="560DC401" w14:textId="77777777" w:rsidTr="00AC69BF">
        <w:tc>
          <w:tcPr>
            <w:tcW w:w="988" w:type="dxa"/>
            <w:vAlign w:val="center"/>
          </w:tcPr>
          <w:p w14:paraId="762558DC" w14:textId="77777777" w:rsidR="00AC69BF" w:rsidRPr="00766A51" w:rsidRDefault="00AC69BF" w:rsidP="00C55A04">
            <w:pPr>
              <w:spacing w:line="259" w:lineRule="auto"/>
              <w:rPr>
                <w:rFonts w:eastAsia="Aptos" w:cs="Times New Roman"/>
                <w:i/>
                <w:iCs/>
                <w:sz w:val="24"/>
                <w:szCs w:val="24"/>
              </w:rPr>
            </w:pPr>
            <w:proofErr w:type="spellStart"/>
            <w:r w:rsidRPr="00766A51">
              <w:rPr>
                <w:rFonts w:eastAsia="Aptos" w:cs="Times New Roman"/>
                <w:i/>
                <w:iCs/>
                <w:sz w:val="24"/>
                <w:szCs w:val="24"/>
              </w:rPr>
              <w:t>und</w:t>
            </w:r>
            <w:proofErr w:type="spellEnd"/>
          </w:p>
        </w:tc>
        <w:tc>
          <w:tcPr>
            <w:tcW w:w="4394" w:type="dxa"/>
            <w:vAlign w:val="center"/>
          </w:tcPr>
          <w:p w14:paraId="486F0983" w14:textId="77777777" w:rsidR="00AC69BF" w:rsidRPr="00766A51" w:rsidRDefault="00AC69BF" w:rsidP="00C55A04">
            <w:pPr>
              <w:spacing w:line="259" w:lineRule="auto"/>
              <w:rPr>
                <w:rFonts w:eastAsia="Aptos" w:cs="Times New Roman"/>
                <w:sz w:val="24"/>
                <w:szCs w:val="24"/>
                <w:lang w:val="de-DE"/>
              </w:rPr>
            </w:pPr>
            <w:r w:rsidRPr="00766A51">
              <w:rPr>
                <w:rFonts w:eastAsia="Aptos" w:cs="Times New Roman"/>
                <w:sz w:val="24"/>
                <w:szCs w:val="24"/>
                <w:lang w:val="de-DE"/>
              </w:rPr>
              <w:t>Ich lese ein Buch und höre Musik.</w:t>
            </w:r>
          </w:p>
        </w:tc>
        <w:tc>
          <w:tcPr>
            <w:tcW w:w="3969" w:type="dxa"/>
            <w:vAlign w:val="center"/>
          </w:tcPr>
          <w:p w14:paraId="66CCB377" w14:textId="77777777" w:rsidR="00AC69BF" w:rsidRPr="00766A51" w:rsidRDefault="00AC69BF" w:rsidP="00C55A04">
            <w:pPr>
              <w:spacing w:line="259" w:lineRule="auto"/>
              <w:rPr>
                <w:rFonts w:eastAsia="Aptos" w:cs="Times New Roman"/>
                <w:sz w:val="24"/>
                <w:szCs w:val="24"/>
              </w:rPr>
            </w:pPr>
            <w:r w:rsidRPr="00766A51">
              <w:rPr>
                <w:rFonts w:eastAsia="Aptos" w:cs="Times New Roman"/>
                <w:sz w:val="24"/>
                <w:szCs w:val="24"/>
              </w:rPr>
              <w:t>Я читаю книгу и слушаю музыку.</w:t>
            </w:r>
          </w:p>
        </w:tc>
      </w:tr>
      <w:tr w:rsidR="00AC69BF" w:rsidRPr="00766A51" w14:paraId="064B5845" w14:textId="77777777" w:rsidTr="00AC69BF">
        <w:tc>
          <w:tcPr>
            <w:tcW w:w="988" w:type="dxa"/>
            <w:vAlign w:val="center"/>
          </w:tcPr>
          <w:p w14:paraId="69254A27" w14:textId="77777777" w:rsidR="00AC69BF" w:rsidRPr="00766A51" w:rsidRDefault="00AC69BF" w:rsidP="00C55A04">
            <w:pPr>
              <w:spacing w:line="259" w:lineRule="auto"/>
              <w:rPr>
                <w:rFonts w:eastAsia="Aptos" w:cs="Times New Roman"/>
                <w:i/>
                <w:iCs/>
                <w:sz w:val="24"/>
                <w:szCs w:val="24"/>
              </w:rPr>
            </w:pPr>
            <w:proofErr w:type="spellStart"/>
            <w:r w:rsidRPr="00766A51">
              <w:rPr>
                <w:rFonts w:eastAsia="Aptos" w:cs="Times New Roman"/>
                <w:i/>
                <w:iCs/>
                <w:sz w:val="24"/>
                <w:szCs w:val="24"/>
              </w:rPr>
              <w:t>aber</w:t>
            </w:r>
            <w:proofErr w:type="spellEnd"/>
          </w:p>
        </w:tc>
        <w:tc>
          <w:tcPr>
            <w:tcW w:w="4394" w:type="dxa"/>
            <w:vAlign w:val="center"/>
          </w:tcPr>
          <w:p w14:paraId="08F81FAC" w14:textId="77777777" w:rsidR="00AC69BF" w:rsidRPr="00766A51" w:rsidRDefault="00AC69BF" w:rsidP="00C55A04">
            <w:pPr>
              <w:spacing w:line="259" w:lineRule="auto"/>
              <w:rPr>
                <w:rFonts w:eastAsia="Aptos" w:cs="Times New Roman"/>
                <w:sz w:val="24"/>
                <w:szCs w:val="24"/>
                <w:lang w:val="de-DE"/>
              </w:rPr>
            </w:pPr>
            <w:r w:rsidRPr="00766A51">
              <w:rPr>
                <w:rFonts w:eastAsia="Aptos" w:cs="Times New Roman"/>
                <w:sz w:val="24"/>
                <w:szCs w:val="24"/>
                <w:lang w:val="de-DE"/>
              </w:rPr>
              <w:t>Ich möchte kommen, aber ich habe keine Zeit.</w:t>
            </w:r>
          </w:p>
        </w:tc>
        <w:tc>
          <w:tcPr>
            <w:tcW w:w="3969" w:type="dxa"/>
            <w:vAlign w:val="center"/>
          </w:tcPr>
          <w:p w14:paraId="31E3AC07" w14:textId="77777777" w:rsidR="00AC69BF" w:rsidRPr="00766A51" w:rsidRDefault="00AC69BF" w:rsidP="00C55A04">
            <w:pPr>
              <w:spacing w:line="259" w:lineRule="auto"/>
              <w:rPr>
                <w:rFonts w:eastAsia="Aptos" w:cs="Times New Roman"/>
                <w:sz w:val="24"/>
                <w:szCs w:val="24"/>
              </w:rPr>
            </w:pPr>
            <w:r w:rsidRPr="00766A51">
              <w:rPr>
                <w:rFonts w:eastAsia="Aptos" w:cs="Times New Roman"/>
                <w:sz w:val="24"/>
                <w:szCs w:val="24"/>
              </w:rPr>
              <w:t>Я хочу прийти, но у меня нет времени.</w:t>
            </w:r>
          </w:p>
        </w:tc>
      </w:tr>
      <w:tr w:rsidR="00AC69BF" w:rsidRPr="00766A51" w14:paraId="2014B95D" w14:textId="77777777" w:rsidTr="00AC69BF">
        <w:tc>
          <w:tcPr>
            <w:tcW w:w="988" w:type="dxa"/>
            <w:vAlign w:val="center"/>
          </w:tcPr>
          <w:p w14:paraId="13860CBC" w14:textId="77777777" w:rsidR="00AC69BF" w:rsidRPr="00766A51" w:rsidRDefault="00AC69BF" w:rsidP="00C55A04">
            <w:pPr>
              <w:spacing w:line="259" w:lineRule="auto"/>
              <w:rPr>
                <w:rFonts w:eastAsia="Aptos" w:cs="Times New Roman"/>
                <w:i/>
                <w:iCs/>
                <w:sz w:val="24"/>
                <w:szCs w:val="24"/>
              </w:rPr>
            </w:pPr>
            <w:proofErr w:type="spellStart"/>
            <w:r w:rsidRPr="00766A51">
              <w:rPr>
                <w:rFonts w:eastAsia="Aptos" w:cs="Times New Roman"/>
                <w:i/>
                <w:iCs/>
                <w:sz w:val="24"/>
                <w:szCs w:val="24"/>
              </w:rPr>
              <w:t>oder</w:t>
            </w:r>
            <w:proofErr w:type="spellEnd"/>
          </w:p>
        </w:tc>
        <w:tc>
          <w:tcPr>
            <w:tcW w:w="4394" w:type="dxa"/>
            <w:vAlign w:val="center"/>
          </w:tcPr>
          <w:p w14:paraId="4C0A6C24" w14:textId="77777777" w:rsidR="00AC69BF" w:rsidRPr="00766A51" w:rsidRDefault="00AC69BF" w:rsidP="00C55A04">
            <w:pPr>
              <w:spacing w:line="259" w:lineRule="auto"/>
              <w:rPr>
                <w:rFonts w:eastAsia="Aptos" w:cs="Times New Roman"/>
                <w:sz w:val="24"/>
                <w:szCs w:val="24"/>
                <w:lang w:val="de-DE"/>
              </w:rPr>
            </w:pPr>
            <w:r w:rsidRPr="00766A51">
              <w:rPr>
                <w:rFonts w:eastAsia="Aptos" w:cs="Times New Roman"/>
                <w:sz w:val="24"/>
                <w:szCs w:val="24"/>
                <w:lang w:val="de-DE"/>
              </w:rPr>
              <w:t>Willst du Tee oder Kaffee?</w:t>
            </w:r>
          </w:p>
        </w:tc>
        <w:tc>
          <w:tcPr>
            <w:tcW w:w="3969" w:type="dxa"/>
            <w:vAlign w:val="center"/>
          </w:tcPr>
          <w:p w14:paraId="46E37BE4" w14:textId="77777777" w:rsidR="00AC69BF" w:rsidRPr="00766A51" w:rsidRDefault="00AC69BF" w:rsidP="00C55A04">
            <w:pPr>
              <w:spacing w:line="259" w:lineRule="auto"/>
              <w:rPr>
                <w:rFonts w:eastAsia="Aptos" w:cs="Times New Roman"/>
                <w:sz w:val="24"/>
                <w:szCs w:val="24"/>
              </w:rPr>
            </w:pPr>
            <w:r w:rsidRPr="00766A51">
              <w:rPr>
                <w:rFonts w:eastAsia="Aptos" w:cs="Times New Roman"/>
                <w:sz w:val="24"/>
                <w:szCs w:val="24"/>
              </w:rPr>
              <w:t>Ты хочешь чай или кофе?</w:t>
            </w:r>
          </w:p>
        </w:tc>
      </w:tr>
      <w:tr w:rsidR="00AC69BF" w:rsidRPr="00766A51" w14:paraId="4C0DBB34" w14:textId="77777777" w:rsidTr="00AC69BF">
        <w:tc>
          <w:tcPr>
            <w:tcW w:w="988" w:type="dxa"/>
            <w:vAlign w:val="center"/>
          </w:tcPr>
          <w:p w14:paraId="5617EEF7" w14:textId="77777777" w:rsidR="00AC69BF" w:rsidRPr="00766A51" w:rsidRDefault="00AC69BF" w:rsidP="00C55A04">
            <w:pPr>
              <w:spacing w:line="259" w:lineRule="auto"/>
              <w:rPr>
                <w:rFonts w:eastAsia="Aptos" w:cs="Times New Roman"/>
                <w:i/>
                <w:iCs/>
                <w:sz w:val="24"/>
                <w:szCs w:val="24"/>
              </w:rPr>
            </w:pPr>
            <w:proofErr w:type="spellStart"/>
            <w:r w:rsidRPr="00766A51">
              <w:rPr>
                <w:rFonts w:eastAsia="Aptos" w:cs="Times New Roman"/>
                <w:i/>
                <w:iCs/>
                <w:sz w:val="24"/>
                <w:szCs w:val="24"/>
              </w:rPr>
              <w:t>denn</w:t>
            </w:r>
            <w:proofErr w:type="spellEnd"/>
          </w:p>
        </w:tc>
        <w:tc>
          <w:tcPr>
            <w:tcW w:w="4394" w:type="dxa"/>
            <w:vAlign w:val="center"/>
          </w:tcPr>
          <w:p w14:paraId="378B255A" w14:textId="639B2C80" w:rsidR="00AC69BF" w:rsidRPr="004C3AB9" w:rsidRDefault="004C3AB9" w:rsidP="00C55A04">
            <w:pPr>
              <w:spacing w:line="259" w:lineRule="auto"/>
              <w:rPr>
                <w:rFonts w:eastAsia="Aptos" w:cs="Times New Roman"/>
                <w:sz w:val="24"/>
                <w:szCs w:val="24"/>
                <w:lang w:val="de-DE"/>
              </w:rPr>
            </w:pPr>
            <w:r w:rsidRPr="004C3AB9">
              <w:rPr>
                <w:rFonts w:eastAsia="Aptos" w:cs="Times New Roman"/>
                <w:sz w:val="24"/>
                <w:szCs w:val="24"/>
                <w:lang w:val="de-DE"/>
              </w:rPr>
              <w:t>Wir gehen heute ins Kino, oder wir bleiben zu Hause.</w:t>
            </w:r>
          </w:p>
        </w:tc>
        <w:tc>
          <w:tcPr>
            <w:tcW w:w="3969" w:type="dxa"/>
            <w:vAlign w:val="center"/>
          </w:tcPr>
          <w:p w14:paraId="7024BA58" w14:textId="77777777" w:rsidR="00AC69BF" w:rsidRPr="00766A51" w:rsidRDefault="00AC69BF" w:rsidP="00C55A04">
            <w:pPr>
              <w:spacing w:line="259" w:lineRule="auto"/>
              <w:rPr>
                <w:rFonts w:eastAsia="Aptos" w:cs="Times New Roman"/>
                <w:sz w:val="24"/>
                <w:szCs w:val="24"/>
              </w:rPr>
            </w:pPr>
            <w:r w:rsidRPr="00766A51">
              <w:rPr>
                <w:rFonts w:eastAsia="Aptos" w:cs="Times New Roman"/>
                <w:sz w:val="24"/>
                <w:szCs w:val="24"/>
              </w:rPr>
              <w:t>Я иду домой, так как уже поздно.</w:t>
            </w:r>
          </w:p>
        </w:tc>
      </w:tr>
      <w:tr w:rsidR="00AC69BF" w:rsidRPr="00766A51" w14:paraId="46B4682E" w14:textId="77777777" w:rsidTr="00AC69BF">
        <w:tc>
          <w:tcPr>
            <w:tcW w:w="988" w:type="dxa"/>
            <w:vAlign w:val="center"/>
          </w:tcPr>
          <w:p w14:paraId="45D38FD5" w14:textId="77777777" w:rsidR="00AC69BF" w:rsidRPr="00766A51" w:rsidRDefault="00AC69BF" w:rsidP="00C55A04">
            <w:pPr>
              <w:spacing w:line="259" w:lineRule="auto"/>
              <w:rPr>
                <w:rFonts w:eastAsia="Aptos" w:cs="Times New Roman"/>
                <w:i/>
                <w:iCs/>
                <w:sz w:val="24"/>
                <w:szCs w:val="24"/>
              </w:rPr>
            </w:pPr>
            <w:proofErr w:type="spellStart"/>
            <w:r w:rsidRPr="00766A51">
              <w:rPr>
                <w:rFonts w:eastAsia="Aptos" w:cs="Times New Roman"/>
                <w:i/>
                <w:iCs/>
                <w:sz w:val="24"/>
                <w:szCs w:val="24"/>
              </w:rPr>
              <w:t>weil</w:t>
            </w:r>
            <w:proofErr w:type="spellEnd"/>
          </w:p>
        </w:tc>
        <w:tc>
          <w:tcPr>
            <w:tcW w:w="4394" w:type="dxa"/>
            <w:vAlign w:val="center"/>
          </w:tcPr>
          <w:p w14:paraId="563C1762" w14:textId="77777777" w:rsidR="00AC69BF" w:rsidRPr="00766A51" w:rsidRDefault="00AC69BF" w:rsidP="00C55A04">
            <w:pPr>
              <w:spacing w:line="259" w:lineRule="auto"/>
              <w:rPr>
                <w:rFonts w:eastAsia="Aptos" w:cs="Times New Roman"/>
                <w:sz w:val="24"/>
                <w:szCs w:val="24"/>
                <w:lang w:val="de-DE"/>
              </w:rPr>
            </w:pPr>
            <w:r w:rsidRPr="00766A51">
              <w:rPr>
                <w:rFonts w:eastAsia="Aptos" w:cs="Times New Roman"/>
                <w:sz w:val="24"/>
                <w:szCs w:val="24"/>
                <w:lang w:val="de-DE"/>
              </w:rPr>
              <w:t>Ich gehe nach Hause, weil es spät ist.</w:t>
            </w:r>
          </w:p>
        </w:tc>
        <w:tc>
          <w:tcPr>
            <w:tcW w:w="3969" w:type="dxa"/>
            <w:vAlign w:val="center"/>
          </w:tcPr>
          <w:p w14:paraId="5A59EBB5" w14:textId="394A2A1F" w:rsidR="00AC69BF" w:rsidRPr="00766A51" w:rsidRDefault="004C3AB9" w:rsidP="00C55A04">
            <w:pPr>
              <w:spacing w:line="259" w:lineRule="auto"/>
              <w:rPr>
                <w:rFonts w:eastAsia="Aptos" w:cs="Times New Roman"/>
                <w:sz w:val="24"/>
                <w:szCs w:val="24"/>
              </w:rPr>
            </w:pPr>
            <w:r w:rsidRPr="004C3AB9">
              <w:rPr>
                <w:rFonts w:eastAsia="Aptos" w:cs="Times New Roman"/>
                <w:sz w:val="24"/>
                <w:szCs w:val="24"/>
              </w:rPr>
              <w:t>Мы идем сегодня в кино, или мы остаемся дома</w:t>
            </w:r>
          </w:p>
        </w:tc>
      </w:tr>
    </w:tbl>
    <w:p w14:paraId="471D508E" w14:textId="120D75FE" w:rsidR="00D73EC4" w:rsidRDefault="00D73EC4" w:rsidP="00D73EC4"/>
    <w:p w14:paraId="62FABD91" w14:textId="421F55A4" w:rsidR="001C3908" w:rsidRPr="001C3908" w:rsidRDefault="009A2678" w:rsidP="00D73EC4">
      <w:r>
        <w:t>4</w:t>
      </w:r>
      <w:r w:rsidR="00D73EC4">
        <w:t xml:space="preserve">. </w:t>
      </w:r>
      <w:r w:rsidR="00C5211F" w:rsidRPr="00C5211F">
        <w:t>В сло</w:t>
      </w:r>
      <w:r w:rsidR="007A15B3">
        <w:t xml:space="preserve">жноподчиненном предложении, в его придаточной части, сначала идет союз, затем подлежащее, </w:t>
      </w:r>
      <w:r w:rsidR="001C3908">
        <w:t>второстепенные члены, относящиеся к сказуемому, а уже затем сказуемое. Например</w:t>
      </w:r>
      <w:r w:rsidR="001C3908" w:rsidRPr="001C3908">
        <w:t xml:space="preserve">: </w:t>
      </w:r>
      <w:r w:rsidR="001C3908" w:rsidRPr="001C3908">
        <w:rPr>
          <w:lang w:val="de-DE"/>
        </w:rPr>
        <w:t>Er</w:t>
      </w:r>
      <w:r w:rsidR="001C3908" w:rsidRPr="001C3908">
        <w:t xml:space="preserve"> </w:t>
      </w:r>
      <w:r w:rsidR="001C3908" w:rsidRPr="001C3908">
        <w:rPr>
          <w:lang w:val="de-DE"/>
        </w:rPr>
        <w:t>sagt</w:t>
      </w:r>
      <w:r w:rsidR="001C3908" w:rsidRPr="001C3908">
        <w:t xml:space="preserve">, </w:t>
      </w:r>
      <w:r w:rsidR="001C3908" w:rsidRPr="001C3908">
        <w:rPr>
          <w:lang w:val="de-DE"/>
        </w:rPr>
        <w:t>dass</w:t>
      </w:r>
      <w:r w:rsidR="001C3908" w:rsidRPr="001C3908">
        <w:t xml:space="preserve"> </w:t>
      </w:r>
      <w:r w:rsidR="001C3908" w:rsidRPr="001C3908">
        <w:rPr>
          <w:lang w:val="de-DE"/>
        </w:rPr>
        <w:t>er</w:t>
      </w:r>
      <w:r w:rsidR="001C3908" w:rsidRPr="001C3908">
        <w:t xml:space="preserve"> </w:t>
      </w:r>
      <w:r w:rsidR="001C3908" w:rsidRPr="001C3908">
        <w:rPr>
          <w:lang w:val="de-DE"/>
        </w:rPr>
        <w:t>gut</w:t>
      </w:r>
      <w:r w:rsidR="001C3908" w:rsidRPr="001C3908">
        <w:t xml:space="preserve"> </w:t>
      </w:r>
      <w:r w:rsidR="001C3908" w:rsidRPr="001C3908">
        <w:rPr>
          <w:lang w:val="de-DE"/>
        </w:rPr>
        <w:t>arbeitet</w:t>
      </w:r>
      <w:r w:rsidR="001C3908" w:rsidRPr="001C3908">
        <w:t xml:space="preserve">. – </w:t>
      </w:r>
      <w:r w:rsidR="001C3908">
        <w:t>Он</w:t>
      </w:r>
      <w:r w:rsidR="001C3908" w:rsidRPr="001C3908">
        <w:t xml:space="preserve"> </w:t>
      </w:r>
      <w:r w:rsidR="001C3908">
        <w:t>говорит</w:t>
      </w:r>
      <w:r w:rsidR="001C3908" w:rsidRPr="001C3908">
        <w:t xml:space="preserve">, </w:t>
      </w:r>
      <w:r w:rsidR="001C3908">
        <w:t>что он хорошо работает.</w:t>
      </w:r>
    </w:p>
    <w:p w14:paraId="7B97BFC9" w14:textId="330136FF" w:rsidR="00D73EC4" w:rsidRDefault="001C3908" w:rsidP="00D73EC4">
      <w:r>
        <w:t>Однако порядок может изменяться в следующих случаях:</w:t>
      </w:r>
    </w:p>
    <w:p w14:paraId="238C2AE6" w14:textId="14F938D6" w:rsidR="001C3908" w:rsidRDefault="001C3908" w:rsidP="00D73EC4">
      <w:r>
        <w:t xml:space="preserve">1) если используется вспомогательный глагол, то вспомогательный глагол стоит на последнем месте, в конце предложения, а перед ним стоит основной глагол. Например: </w:t>
      </w:r>
      <w:r w:rsidRPr="001C3908">
        <w:rPr>
          <w:lang w:val="de-DE"/>
        </w:rPr>
        <w:t>Er</w:t>
      </w:r>
      <w:r w:rsidRPr="001C3908">
        <w:t xml:space="preserve"> </w:t>
      </w:r>
      <w:r w:rsidRPr="001C3908">
        <w:rPr>
          <w:lang w:val="de-DE"/>
        </w:rPr>
        <w:t>sagt</w:t>
      </w:r>
      <w:r w:rsidRPr="001C3908">
        <w:t xml:space="preserve">, </w:t>
      </w:r>
      <w:r w:rsidRPr="001C3908">
        <w:rPr>
          <w:lang w:val="de-DE"/>
        </w:rPr>
        <w:t>dass</w:t>
      </w:r>
      <w:r w:rsidRPr="001C3908">
        <w:t xml:space="preserve"> </w:t>
      </w:r>
      <w:r w:rsidRPr="001C3908">
        <w:rPr>
          <w:lang w:val="de-DE"/>
        </w:rPr>
        <w:t>er</w:t>
      </w:r>
      <w:r w:rsidRPr="001C3908">
        <w:t xml:space="preserve"> </w:t>
      </w:r>
      <w:r w:rsidRPr="001C3908">
        <w:rPr>
          <w:lang w:val="de-DE"/>
        </w:rPr>
        <w:t>gut</w:t>
      </w:r>
      <w:r w:rsidRPr="001C3908">
        <w:t xml:space="preserve"> </w:t>
      </w:r>
      <w:r w:rsidRPr="001C3908">
        <w:rPr>
          <w:b/>
          <w:bCs/>
          <w:lang w:val="de-DE"/>
        </w:rPr>
        <w:t>arbeite</w:t>
      </w:r>
      <w:r w:rsidRPr="001C3908">
        <w:rPr>
          <w:b/>
          <w:bCs/>
          <w:lang w:val="en-US"/>
        </w:rPr>
        <w:t>n</w:t>
      </w:r>
      <w:r w:rsidRPr="001C3908">
        <w:rPr>
          <w:b/>
          <w:bCs/>
        </w:rPr>
        <w:t xml:space="preserve"> </w:t>
      </w:r>
      <w:proofErr w:type="spellStart"/>
      <w:r w:rsidRPr="001C3908">
        <w:rPr>
          <w:b/>
          <w:bCs/>
          <w:lang w:val="en-US"/>
        </w:rPr>
        <w:t>wird</w:t>
      </w:r>
      <w:proofErr w:type="spellEnd"/>
      <w:r w:rsidRPr="001C3908">
        <w:t xml:space="preserve">. – Он говорит, что он </w:t>
      </w:r>
      <w:r>
        <w:t xml:space="preserve">будет </w:t>
      </w:r>
      <w:r w:rsidRPr="001C3908">
        <w:t>хорошо работа</w:t>
      </w:r>
      <w:r>
        <w:t>ть;</w:t>
      </w:r>
    </w:p>
    <w:p w14:paraId="6CB2A549" w14:textId="056CE225" w:rsidR="001C3908" w:rsidRDefault="001C3908" w:rsidP="00D73EC4">
      <w:r>
        <w:t xml:space="preserve">2) в именном сказуемом связка стоит на последнем месте, в конце предложения, а именная часть стоит перед ней, на предпоследнем месте. Например: </w:t>
      </w:r>
      <w:r w:rsidRPr="001C3908">
        <w:rPr>
          <w:lang w:val="de-DE"/>
        </w:rPr>
        <w:t>Er</w:t>
      </w:r>
      <w:r w:rsidRPr="001C3908">
        <w:t xml:space="preserve"> </w:t>
      </w:r>
      <w:r w:rsidRPr="001C3908">
        <w:rPr>
          <w:lang w:val="de-DE"/>
        </w:rPr>
        <w:t>sagt</w:t>
      </w:r>
      <w:r w:rsidRPr="001C3908">
        <w:t>,</w:t>
      </w:r>
      <w:r>
        <w:t xml:space="preserve"> </w:t>
      </w:r>
      <w:proofErr w:type="spellStart"/>
      <w:r>
        <w:rPr>
          <w:lang w:val="en-US"/>
        </w:rPr>
        <w:t>dass</w:t>
      </w:r>
      <w:proofErr w:type="spellEnd"/>
      <w:r w:rsidRPr="001C3908">
        <w:t xml:space="preserve"> </w:t>
      </w:r>
      <w:r>
        <w:rPr>
          <w:lang w:val="en-US"/>
        </w:rPr>
        <w:t>seine</w:t>
      </w:r>
      <w:r w:rsidRPr="001C3908">
        <w:t xml:space="preserve"> </w:t>
      </w:r>
      <w:r>
        <w:rPr>
          <w:lang w:val="en-US"/>
        </w:rPr>
        <w:t>Arbeit</w:t>
      </w:r>
      <w:r w:rsidRPr="001C3908">
        <w:t xml:space="preserve"> </w:t>
      </w:r>
      <w:r w:rsidRPr="001C3908">
        <w:rPr>
          <w:b/>
          <w:bCs/>
          <w:lang w:val="en-US"/>
        </w:rPr>
        <w:t>gut</w:t>
      </w:r>
      <w:r w:rsidRPr="001C3908">
        <w:rPr>
          <w:b/>
          <w:bCs/>
        </w:rPr>
        <w:t xml:space="preserve"> </w:t>
      </w:r>
      <w:proofErr w:type="spellStart"/>
      <w:r w:rsidRPr="001C3908">
        <w:rPr>
          <w:b/>
          <w:bCs/>
          <w:lang w:val="en-US"/>
        </w:rPr>
        <w:t>ist</w:t>
      </w:r>
      <w:proofErr w:type="spellEnd"/>
      <w:r w:rsidRPr="001C3908">
        <w:t xml:space="preserve">. – </w:t>
      </w:r>
      <w:r>
        <w:t>Он говорит, что его работа хорошая;</w:t>
      </w:r>
    </w:p>
    <w:p w14:paraId="08329737" w14:textId="582D89E4" w:rsidR="00BB211E" w:rsidRPr="00C5211F" w:rsidRDefault="001C3908" w:rsidP="00D73EC4">
      <w:r>
        <w:t xml:space="preserve">3) если связка выражены глаголом с основной и вспомогательными частями, то вспомогательная часть стоит в самом конце, затем – основной глагол, и перед ним – именная часть. Например: </w:t>
      </w:r>
      <w:r w:rsidRPr="001C3908">
        <w:rPr>
          <w:lang w:val="de-DE"/>
        </w:rPr>
        <w:t>Er</w:t>
      </w:r>
      <w:r w:rsidRPr="001C3908">
        <w:t xml:space="preserve"> </w:t>
      </w:r>
      <w:r w:rsidRPr="001C3908">
        <w:rPr>
          <w:lang w:val="de-DE"/>
        </w:rPr>
        <w:t>sagt</w:t>
      </w:r>
      <w:r w:rsidRPr="001C3908">
        <w:t xml:space="preserve">, </w:t>
      </w:r>
      <w:proofErr w:type="spellStart"/>
      <w:r w:rsidRPr="001C3908">
        <w:rPr>
          <w:lang w:val="en-US"/>
        </w:rPr>
        <w:t>dass</w:t>
      </w:r>
      <w:proofErr w:type="spellEnd"/>
      <w:r w:rsidRPr="001C3908">
        <w:t xml:space="preserve"> </w:t>
      </w:r>
      <w:r w:rsidRPr="001C3908">
        <w:rPr>
          <w:lang w:val="en-US"/>
        </w:rPr>
        <w:t>seine</w:t>
      </w:r>
      <w:r w:rsidRPr="001C3908">
        <w:t xml:space="preserve"> </w:t>
      </w:r>
      <w:r w:rsidRPr="001C3908">
        <w:rPr>
          <w:lang w:val="en-US"/>
        </w:rPr>
        <w:t>Arbeit</w:t>
      </w:r>
      <w:r w:rsidRPr="001C3908">
        <w:t xml:space="preserve"> </w:t>
      </w:r>
      <w:r w:rsidRPr="001C3908">
        <w:rPr>
          <w:b/>
          <w:bCs/>
          <w:lang w:val="en-US"/>
        </w:rPr>
        <w:t>gut</w:t>
      </w:r>
      <w:r w:rsidRPr="001C3908">
        <w:rPr>
          <w:b/>
          <w:bCs/>
        </w:rPr>
        <w:t xml:space="preserve"> </w:t>
      </w:r>
      <w:proofErr w:type="spellStart"/>
      <w:r>
        <w:rPr>
          <w:b/>
          <w:bCs/>
          <w:lang w:val="en-US"/>
        </w:rPr>
        <w:t>gewesen</w:t>
      </w:r>
      <w:proofErr w:type="spellEnd"/>
      <w:r w:rsidRPr="004C3AB9">
        <w:rPr>
          <w:b/>
          <w:bCs/>
        </w:rPr>
        <w:t xml:space="preserve"> </w:t>
      </w:r>
      <w:proofErr w:type="spellStart"/>
      <w:r w:rsidRPr="001C3908">
        <w:rPr>
          <w:b/>
          <w:bCs/>
          <w:lang w:val="en-US"/>
        </w:rPr>
        <w:t>ist</w:t>
      </w:r>
      <w:proofErr w:type="spellEnd"/>
      <w:r w:rsidRPr="001C3908">
        <w:t xml:space="preserve">. – Он говорит, что его работа </w:t>
      </w:r>
      <w:r>
        <w:t>была хорошей.</w:t>
      </w:r>
    </w:p>
    <w:sectPr w:rsidR="00BB211E" w:rsidRPr="00C521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E6B"/>
    <w:rsid w:val="00171177"/>
    <w:rsid w:val="001C3908"/>
    <w:rsid w:val="00245CDC"/>
    <w:rsid w:val="002B40CC"/>
    <w:rsid w:val="002C1AD6"/>
    <w:rsid w:val="003D06C3"/>
    <w:rsid w:val="004C3AB9"/>
    <w:rsid w:val="005547EA"/>
    <w:rsid w:val="00680E42"/>
    <w:rsid w:val="00696FB3"/>
    <w:rsid w:val="00741AAC"/>
    <w:rsid w:val="007A15B3"/>
    <w:rsid w:val="008A7E6B"/>
    <w:rsid w:val="00916DF1"/>
    <w:rsid w:val="00950713"/>
    <w:rsid w:val="009A2678"/>
    <w:rsid w:val="00AC69BF"/>
    <w:rsid w:val="00BA2324"/>
    <w:rsid w:val="00BB211E"/>
    <w:rsid w:val="00C5211F"/>
    <w:rsid w:val="00D73EC4"/>
    <w:rsid w:val="00DF3F8C"/>
    <w:rsid w:val="00E46AFE"/>
    <w:rsid w:val="00EE0BE7"/>
    <w:rsid w:val="00F3404B"/>
    <w:rsid w:val="00FC5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FE4E8"/>
  <w15:chartTrackingRefBased/>
  <w15:docId w15:val="{D9D23A61-DB9E-43F9-91FC-C11E64B21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7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7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7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7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7E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7E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7E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7E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7E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7E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7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7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7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7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7E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7E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7E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7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7E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7E6B"/>
    <w:rPr>
      <w:b/>
      <w:bCs/>
      <w:smallCaps/>
      <w:color w:val="0F4761" w:themeColor="accent1" w:themeShade="BF"/>
      <w:spacing w:val="5"/>
    </w:rPr>
  </w:style>
  <w:style w:type="table" w:customStyle="1" w:styleId="23">
    <w:name w:val="Сетка таблицы2"/>
    <w:basedOn w:val="a1"/>
    <w:next w:val="ac"/>
    <w:uiPriority w:val="39"/>
    <w:rsid w:val="00C5211F"/>
    <w:pPr>
      <w:spacing w:after="0" w:line="240" w:lineRule="auto"/>
    </w:pPr>
    <w:rPr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C521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19</cp:revision>
  <dcterms:created xsi:type="dcterms:W3CDTF">2025-09-13T05:50:00Z</dcterms:created>
  <dcterms:modified xsi:type="dcterms:W3CDTF">2026-04-27T06:24:00Z</dcterms:modified>
</cp:coreProperties>
</file>