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FA99" w14:textId="77777777" w:rsidR="00410686" w:rsidRPr="00FB78EE" w:rsidRDefault="00F23560" w:rsidP="00410686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1. </w:t>
      </w:r>
      <w:r w:rsidR="00410686">
        <w:rPr>
          <w:rFonts w:eastAsia="Aptos" w:cs="Times New Roman"/>
        </w:rPr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02"/>
        <w:gridCol w:w="2296"/>
        <w:gridCol w:w="2198"/>
        <w:gridCol w:w="2199"/>
      </w:tblGrid>
      <w:tr w:rsidR="00410686" w:rsidRPr="00FB78EE" w14:paraId="1BAE82D4" w14:textId="77777777" w:rsidTr="001C1D4D">
        <w:trPr>
          <w:trHeight w:val="491"/>
        </w:trPr>
        <w:tc>
          <w:tcPr>
            <w:tcW w:w="2302" w:type="dxa"/>
            <w:vAlign w:val="center"/>
          </w:tcPr>
          <w:p w14:paraId="6D97C94C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  <w:color w:val="EE0000"/>
              </w:rPr>
              <w:t>Una mela</w:t>
            </w:r>
          </w:p>
        </w:tc>
        <w:tc>
          <w:tcPr>
            <w:tcW w:w="2296" w:type="dxa"/>
            <w:vAlign w:val="center"/>
          </w:tcPr>
          <w:p w14:paraId="7312636A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Giulia</w:t>
            </w:r>
          </w:p>
        </w:tc>
        <w:tc>
          <w:tcPr>
            <w:tcW w:w="2198" w:type="dxa"/>
            <w:vAlign w:val="center"/>
          </w:tcPr>
          <w:p w14:paraId="237CCE9F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mangia</w:t>
            </w:r>
          </w:p>
        </w:tc>
        <w:tc>
          <w:tcPr>
            <w:tcW w:w="2199" w:type="dxa"/>
            <w:vAlign w:val="center"/>
          </w:tcPr>
          <w:p w14:paraId="060F8002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lentamente</w:t>
            </w:r>
          </w:p>
        </w:tc>
      </w:tr>
      <w:tr w:rsidR="00410686" w:rsidRPr="00FB78EE" w14:paraId="6161FADE" w14:textId="77777777" w:rsidTr="001C1D4D">
        <w:trPr>
          <w:trHeight w:val="485"/>
        </w:trPr>
        <w:tc>
          <w:tcPr>
            <w:tcW w:w="2302" w:type="dxa"/>
            <w:vAlign w:val="center"/>
          </w:tcPr>
          <w:p w14:paraId="10DDB80A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дополнение</w:t>
            </w:r>
          </w:p>
        </w:tc>
        <w:tc>
          <w:tcPr>
            <w:tcW w:w="2296" w:type="dxa"/>
            <w:vAlign w:val="center"/>
          </w:tcPr>
          <w:p w14:paraId="24EA13E1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подлежащее</w:t>
            </w:r>
          </w:p>
        </w:tc>
        <w:tc>
          <w:tcPr>
            <w:tcW w:w="2198" w:type="dxa"/>
            <w:vAlign w:val="center"/>
          </w:tcPr>
          <w:p w14:paraId="430953B6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сказуемое</w:t>
            </w:r>
          </w:p>
        </w:tc>
        <w:tc>
          <w:tcPr>
            <w:tcW w:w="2199" w:type="dxa"/>
            <w:vAlign w:val="center"/>
          </w:tcPr>
          <w:p w14:paraId="57DD5711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обстоятельство</w:t>
            </w:r>
          </w:p>
        </w:tc>
      </w:tr>
      <w:tr w:rsidR="00410686" w:rsidRPr="00FB78EE" w14:paraId="29F561FB" w14:textId="77777777" w:rsidTr="001C1D4D">
        <w:trPr>
          <w:trHeight w:val="485"/>
        </w:trPr>
        <w:tc>
          <w:tcPr>
            <w:tcW w:w="8995" w:type="dxa"/>
            <w:gridSpan w:val="4"/>
          </w:tcPr>
          <w:p w14:paraId="06E212BC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</w:p>
        </w:tc>
      </w:tr>
      <w:tr w:rsidR="00410686" w:rsidRPr="00FB78EE" w14:paraId="30451B0B" w14:textId="77777777" w:rsidTr="001C1D4D">
        <w:trPr>
          <w:trHeight w:val="491"/>
        </w:trPr>
        <w:tc>
          <w:tcPr>
            <w:tcW w:w="2302" w:type="dxa"/>
            <w:vAlign w:val="center"/>
          </w:tcPr>
          <w:p w14:paraId="45BCB00D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Giulia</w:t>
            </w:r>
          </w:p>
        </w:tc>
        <w:tc>
          <w:tcPr>
            <w:tcW w:w="2296" w:type="dxa"/>
            <w:vAlign w:val="center"/>
          </w:tcPr>
          <w:p w14:paraId="72BAC2B4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  <w:color w:val="EE0000"/>
              </w:rPr>
              <w:t>una mela</w:t>
            </w:r>
          </w:p>
        </w:tc>
        <w:tc>
          <w:tcPr>
            <w:tcW w:w="2198" w:type="dxa"/>
            <w:vAlign w:val="center"/>
          </w:tcPr>
          <w:p w14:paraId="01CC6762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mangia</w:t>
            </w:r>
          </w:p>
        </w:tc>
        <w:tc>
          <w:tcPr>
            <w:tcW w:w="2199" w:type="dxa"/>
            <w:vAlign w:val="center"/>
          </w:tcPr>
          <w:p w14:paraId="19A6D4F9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lentamente</w:t>
            </w:r>
          </w:p>
        </w:tc>
      </w:tr>
      <w:tr w:rsidR="00410686" w:rsidRPr="00FB78EE" w14:paraId="6348BCC3" w14:textId="77777777" w:rsidTr="001C1D4D">
        <w:trPr>
          <w:trHeight w:val="309"/>
        </w:trPr>
        <w:tc>
          <w:tcPr>
            <w:tcW w:w="2302" w:type="dxa"/>
            <w:vAlign w:val="center"/>
          </w:tcPr>
          <w:p w14:paraId="662B4385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подлежащее</w:t>
            </w:r>
          </w:p>
        </w:tc>
        <w:tc>
          <w:tcPr>
            <w:tcW w:w="2296" w:type="dxa"/>
            <w:vAlign w:val="center"/>
          </w:tcPr>
          <w:p w14:paraId="24CA2CF2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дополнение</w:t>
            </w:r>
          </w:p>
        </w:tc>
        <w:tc>
          <w:tcPr>
            <w:tcW w:w="2198" w:type="dxa"/>
            <w:vAlign w:val="center"/>
          </w:tcPr>
          <w:p w14:paraId="7B2AFB67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сказуемое</w:t>
            </w:r>
          </w:p>
        </w:tc>
        <w:tc>
          <w:tcPr>
            <w:tcW w:w="2199" w:type="dxa"/>
            <w:vAlign w:val="center"/>
          </w:tcPr>
          <w:p w14:paraId="3AFBA72A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обстоятельство</w:t>
            </w:r>
          </w:p>
        </w:tc>
      </w:tr>
      <w:tr w:rsidR="00410686" w:rsidRPr="00FB78EE" w14:paraId="2852ADB7" w14:textId="77777777" w:rsidTr="001C1D4D">
        <w:trPr>
          <w:trHeight w:val="309"/>
        </w:trPr>
        <w:tc>
          <w:tcPr>
            <w:tcW w:w="8995" w:type="dxa"/>
            <w:gridSpan w:val="4"/>
            <w:vAlign w:val="center"/>
          </w:tcPr>
          <w:p w14:paraId="787E821E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</w:p>
        </w:tc>
      </w:tr>
      <w:tr w:rsidR="00410686" w:rsidRPr="00FB78EE" w14:paraId="657587AA" w14:textId="77777777" w:rsidTr="001C1D4D">
        <w:trPr>
          <w:trHeight w:val="491"/>
        </w:trPr>
        <w:tc>
          <w:tcPr>
            <w:tcW w:w="2302" w:type="dxa"/>
            <w:vAlign w:val="center"/>
          </w:tcPr>
          <w:p w14:paraId="06DEFFDA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Giulia</w:t>
            </w:r>
          </w:p>
        </w:tc>
        <w:tc>
          <w:tcPr>
            <w:tcW w:w="2296" w:type="dxa"/>
            <w:vAlign w:val="center"/>
          </w:tcPr>
          <w:p w14:paraId="340A14C7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mangia</w:t>
            </w:r>
          </w:p>
        </w:tc>
        <w:tc>
          <w:tcPr>
            <w:tcW w:w="2198" w:type="dxa"/>
            <w:vAlign w:val="center"/>
          </w:tcPr>
          <w:p w14:paraId="01CBF42F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lentamente</w:t>
            </w:r>
          </w:p>
        </w:tc>
        <w:tc>
          <w:tcPr>
            <w:tcW w:w="2199" w:type="dxa"/>
            <w:vAlign w:val="center"/>
          </w:tcPr>
          <w:p w14:paraId="0863530B" w14:textId="77777777" w:rsidR="00410686" w:rsidRPr="00FB78EE" w:rsidRDefault="00410686" w:rsidP="001C1D4D">
            <w:pPr>
              <w:spacing w:line="240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  <w:color w:val="EE0000"/>
              </w:rPr>
              <w:t>una mela</w:t>
            </w:r>
          </w:p>
        </w:tc>
      </w:tr>
      <w:tr w:rsidR="00410686" w:rsidRPr="00FB78EE" w14:paraId="67E56553" w14:textId="77777777" w:rsidTr="001C1D4D">
        <w:trPr>
          <w:trHeight w:val="331"/>
        </w:trPr>
        <w:tc>
          <w:tcPr>
            <w:tcW w:w="2302" w:type="dxa"/>
            <w:vAlign w:val="center"/>
          </w:tcPr>
          <w:p w14:paraId="68E27E34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подлежащее</w:t>
            </w:r>
          </w:p>
        </w:tc>
        <w:tc>
          <w:tcPr>
            <w:tcW w:w="2296" w:type="dxa"/>
            <w:vAlign w:val="center"/>
          </w:tcPr>
          <w:p w14:paraId="541092AA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сказуемое</w:t>
            </w:r>
          </w:p>
        </w:tc>
        <w:tc>
          <w:tcPr>
            <w:tcW w:w="2198" w:type="dxa"/>
            <w:vAlign w:val="center"/>
          </w:tcPr>
          <w:p w14:paraId="1AD774AD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обстоятельство</w:t>
            </w:r>
          </w:p>
        </w:tc>
        <w:tc>
          <w:tcPr>
            <w:tcW w:w="2199" w:type="dxa"/>
            <w:vAlign w:val="center"/>
          </w:tcPr>
          <w:p w14:paraId="56A3E06C" w14:textId="77777777" w:rsidR="00410686" w:rsidRPr="00FB78EE" w:rsidRDefault="00410686" w:rsidP="001C1D4D">
            <w:pPr>
              <w:spacing w:line="278" w:lineRule="auto"/>
              <w:rPr>
                <w:rFonts w:eastAsia="Aptos" w:cs="Times New Roman"/>
              </w:rPr>
            </w:pPr>
            <w:r w:rsidRPr="00FB78EE">
              <w:rPr>
                <w:rFonts w:eastAsia="Aptos" w:cs="Times New Roman"/>
              </w:rPr>
              <w:t>дополнение</w:t>
            </w:r>
          </w:p>
        </w:tc>
      </w:tr>
    </w:tbl>
    <w:p w14:paraId="550FDF3E" w14:textId="77777777" w:rsidR="00410686" w:rsidRDefault="00410686" w:rsidP="00410686"/>
    <w:p w14:paraId="54ABF849" w14:textId="4B93CE2F" w:rsidR="00F23560" w:rsidRPr="00D30D25" w:rsidRDefault="00F23560" w:rsidP="00D30D25">
      <w:pPr>
        <w:pStyle w:val="1"/>
      </w:pPr>
      <w:r>
        <w:t xml:space="preserve">Дополнение </w:t>
      </w:r>
    </w:p>
    <w:p w14:paraId="76E7BCDF" w14:textId="53CD8FF0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915FEC">
        <w:rPr>
          <w:rFonts w:ascii="Aptos" w:eastAsia="Aptos" w:hAnsi="Aptos" w:cs="Times New Roman"/>
        </w:rPr>
        <w:t xml:space="preserve"> </w:t>
      </w:r>
      <w:r w:rsidR="00915FEC" w:rsidRPr="00915FEC">
        <w:rPr>
          <w:rFonts w:ascii="Aptos" w:eastAsia="Aptos" w:hAnsi="Aptos" w:cs="Times New Roman"/>
        </w:rPr>
        <w:t>Дополнение показывает предмет, на который направлено действие.</w:t>
      </w:r>
    </w:p>
    <w:p w14:paraId="004A75FA" w14:textId="5268DF31" w:rsidR="00410686" w:rsidRDefault="00F23560" w:rsidP="00D30D25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D30D25">
        <w:rPr>
          <w:rFonts w:ascii="Aptos" w:eastAsia="Aptos" w:hAnsi="Aptos" w:cs="Times New Roman"/>
        </w:rPr>
        <w:t>Дополнение по форме совпадает с подлежащим. Однако дополнение не согласуется со сказуемым.</w:t>
      </w:r>
      <w:r w:rsidR="00410686" w:rsidRPr="00410686">
        <w:rPr>
          <w:rFonts w:ascii="Aptos" w:eastAsia="Aptos" w:hAnsi="Aptos" w:cs="Times New Roman"/>
        </w:rPr>
        <w:t xml:space="preserve"> Например: Io ho letto.</w:t>
      </w:r>
      <w:r w:rsidR="00410686">
        <w:rPr>
          <w:rFonts w:ascii="Aptos" w:eastAsia="Aptos" w:hAnsi="Aptos" w:cs="Times New Roman"/>
        </w:rPr>
        <w:t xml:space="preserve"> – Я читал.</w:t>
      </w:r>
    </w:p>
    <w:p w14:paraId="32123B52" w14:textId="34EF20A5" w:rsidR="009127BB" w:rsidRDefault="009127BB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4. Дополнение следует за сказуемым. В некоторых случаях подлежащее может тоже следовать за сказуемым. В этом случае первым идет сказуемое, далее идет подлежащее и дополнение или дополнение и подлежащее. В такой ситуации отнесение к подлежащему или дополнению осуществляется по смыслу. Например: </w:t>
      </w:r>
      <w:r w:rsidRPr="009127BB">
        <w:rPr>
          <w:rFonts w:ascii="Aptos" w:eastAsia="Aptos" w:hAnsi="Aptos" w:cs="Times New Roman"/>
        </w:rPr>
        <w:t>Mangia la mela il bambino.</w:t>
      </w:r>
      <w:r>
        <w:rPr>
          <w:rFonts w:ascii="Aptos" w:eastAsia="Aptos" w:hAnsi="Aptos" w:cs="Times New Roman"/>
        </w:rPr>
        <w:t xml:space="preserve"> – </w:t>
      </w:r>
      <w:r w:rsidRPr="009127BB">
        <w:rPr>
          <w:rFonts w:ascii="Aptos" w:eastAsia="Aptos" w:hAnsi="Aptos" w:cs="Times New Roman" w:hint="cs"/>
        </w:rPr>
        <w:t>Ест</w:t>
      </w:r>
      <w:r w:rsidRPr="009127BB">
        <w:rPr>
          <w:rFonts w:ascii="Aptos" w:eastAsia="Aptos" w:hAnsi="Aptos" w:cs="Times New Roman"/>
        </w:rPr>
        <w:t xml:space="preserve"> </w:t>
      </w:r>
      <w:r w:rsidRPr="009127BB">
        <w:rPr>
          <w:rFonts w:ascii="Aptos" w:eastAsia="Aptos" w:hAnsi="Aptos" w:cs="Times New Roman" w:hint="cs"/>
        </w:rPr>
        <w:t>яблоко</w:t>
      </w:r>
      <w:r w:rsidRPr="009127BB">
        <w:rPr>
          <w:rFonts w:ascii="Aptos" w:eastAsia="Aptos" w:hAnsi="Aptos" w:cs="Times New Roman"/>
        </w:rPr>
        <w:t xml:space="preserve"> </w:t>
      </w:r>
      <w:r w:rsidRPr="009127BB">
        <w:rPr>
          <w:rFonts w:ascii="Aptos" w:eastAsia="Aptos" w:hAnsi="Aptos" w:cs="Times New Roman" w:hint="cs"/>
        </w:rPr>
        <w:t>ребенок</w:t>
      </w:r>
      <w:r w:rsidRPr="009127BB">
        <w:rPr>
          <w:rFonts w:ascii="Aptos" w:eastAsia="Aptos" w:hAnsi="Aptos" w:cs="Times New Roman"/>
        </w:rPr>
        <w:t>.</w:t>
      </w:r>
    </w:p>
    <w:p w14:paraId="41AE2DC0" w14:textId="0756559E" w:rsidR="008B657A" w:rsidRPr="008B657A" w:rsidRDefault="009127BB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5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B08E8"/>
    <w:rsid w:val="0025372E"/>
    <w:rsid w:val="003F6B59"/>
    <w:rsid w:val="00410686"/>
    <w:rsid w:val="0051097A"/>
    <w:rsid w:val="00581EA4"/>
    <w:rsid w:val="0059773F"/>
    <w:rsid w:val="007D3237"/>
    <w:rsid w:val="008070BF"/>
    <w:rsid w:val="008B657A"/>
    <w:rsid w:val="009127BB"/>
    <w:rsid w:val="00915FEC"/>
    <w:rsid w:val="00A22B13"/>
    <w:rsid w:val="00D30D25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1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1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15</cp:revision>
  <dcterms:created xsi:type="dcterms:W3CDTF">2025-09-13T05:09:00Z</dcterms:created>
  <dcterms:modified xsi:type="dcterms:W3CDTF">2026-03-19T08:14:00Z</dcterms:modified>
</cp:coreProperties>
</file>