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Аналитический отчет по отзывам покупателей мебели</w:t>
      </w:r>
    </w:p>
    <w:p>
      <w:r>
        <w:rPr>
          <w:b/>
        </w:rPr>
        <w:t>Производственная практика</w:t>
      </w:r>
    </w:p>
    <w:p>
      <w:r>
        <w:t>Исследование охватывает 12,585 очищенных записей из трех открытых источников. Рейтинг используется как независимый критерий тональности, а тематические признаки извлекаются из текста прозрачными правилами и, при доступности, ограниченной автоматической разметкой YandexGPT.</w:t>
      </w:r>
    </w:p>
    <w:p>
      <w:pPr>
        <w:pStyle w:val="Heading1"/>
      </w:pPr>
      <w:r>
        <w:t>1 Введение</w:t>
      </w:r>
    </w:p>
    <w:p>
      <w:r>
        <w:t>Отзывы покупателей содержат прямые сигналы о качестве товара, доставке, работе сотрудников и претензионном опыте. Анализ нужен для выделения повторяющихся потребностей и проверки пяти заранее сформулированных бизнес-гипотез.</w:t>
      </w:r>
    </w:p>
    <w:p>
      <w:pPr>
        <w:pStyle w:val="Heading1"/>
      </w:pPr>
      <w:r>
        <w:t>2 Цель проекта</w:t>
      </w:r>
    </w:p>
    <w:p>
      <w:r>
        <w:t>Цель проекта — определить ключевые потребности и болевые точки покупателей мебели, оценить статистическую поддержку пяти гипотез и перевести результаты в измеримые рекомендации для компании.</w:t>
      </w:r>
    </w:p>
    <w:p>
      <w:pPr>
        <w:pStyle w:val="Heading1"/>
      </w:pPr>
      <w:r>
        <w:t>3 Описание исходных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29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Строк загружено</w:t>
            </w:r>
          </w:p>
        </w:tc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12905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Строк после очистки</w:t>
            </w:r>
          </w:p>
        </w:tc>
        <w:tc>
          <w:tcPr>
            <w:tcW w:type="dxa" w:w="4929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12585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Отзывы с рейтингом</w:t>
            </w:r>
          </w:p>
        </w:tc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12585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Отзывы с текстом</w:t>
            </w:r>
          </w:p>
        </w:tc>
        <w:tc>
          <w:tcPr>
            <w:tcW w:type="dxa" w:w="4929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11662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Удалено технических строк</w:t>
            </w:r>
          </w:p>
        </w:tc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297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F3F6FA"/>
          </w:tcPr>
          <w:p>
            <w:r>
              <w:rPr>
                <w:sz w:val="16"/>
              </w:rPr>
              <w:t>Удалено точных дублей</w:t>
            </w:r>
          </w:p>
        </w:tc>
        <w:tc>
          <w:tcPr>
            <w:tcW w:type="dxa" w:w="4929"/>
            <w:vAlign w:val="center"/>
            <w:shd w:fill="F3F6FA"/>
          </w:tcPr>
          <w:p>
            <w:r>
              <w:rPr>
                <w:sz w:val="16"/>
              </w:rPr>
              <w:t>23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52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ating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 Подготовка и очистка данных</w:t>
      </w:r>
    </w:p>
    <w:p>
      <w:r>
        <w:t>Названия полей унифицированы, рейтинги преобразованы в числа, HTML и лишние пробелы удалены. Исходный текст сохранен отдельно, поскольку знаки препинания, регистр и emoji участвуют в оценке эмоциональности. Даты приведены к календарному формату там, где исходная запись позволяла это сделать. Каждому отзыву присвоен стабильный review_id.</w:t>
      </w:r>
    </w:p>
    <w:p>
      <w:pPr>
        <w:pStyle w:val="Heading1"/>
      </w:pPr>
      <w:r>
        <w:t>5 Первичный анализ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48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465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l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 Использование YandexGPT</w:t>
      </w:r>
    </w:p>
    <w:p>
      <w:r>
        <w:t>Проект реализует официальный API Yandex Cloud, строгую JSON-схему, валидацию, таймаут, повторные попытки с экспоненциальной задержкой, локальный кеш и журнал ошибок. Перед отправкой удаляются телефоны и адреса электронной почты. Основной массив размечается правилами; LLM применяется только к ограниченной выборке неоднозначных случаев. Такая разметка является автоматической, а не ручной.</w:t>
      </w:r>
    </w:p>
    <w:p>
      <w:r>
        <w:t>Минимальный тестовый запрос завершился с HTTP 200. В ограниченной стратифицированной выборке автоматически размечено 54 отзывов из 9 страт «источник × тональность». При финальной повторной сборке 54 результатов прочитано из локального кеша без повторных API-запросов. Для остальных отзывов сохранена воспроизводимая разметка правилами.</w:t>
      </w:r>
    </w:p>
    <w:p>
      <w:pPr>
        <w:pStyle w:val="Heading1"/>
      </w:pPr>
      <w:r>
        <w:t>7 Методика проверки гипотез</w:t>
      </w:r>
    </w:p>
    <w:p>
      <w:r>
        <w:t>Негативным считается рейтинг 1–2, нейтральным — 3, положительным — 4–5. Для долей рассчитаны интервалы Уилсона. Непараметрические сравнения используют Mann–Whitney U и Cliff's delta. Для корреляции цены и подробности применен коэффициент Спирмена с bootstrap-интервалом. При нескольких основных тестах p-value скорректированы методом Benjamini–Hochberg.</w:t>
      </w:r>
    </w:p>
    <w:p>
      <w:pPr>
        <w:pStyle w:val="Heading1"/>
      </w:pPr>
      <w:r>
        <w:t>8 Гипотеза 1</w:t>
      </w:r>
    </w:p>
    <w:p>
      <w:r>
        <w:t>Клиенты чаще оставляют негативные отзывы из-за уровня сервиса, а не из-за качества мебели.</w:t>
      </w:r>
    </w:p>
    <w:p>
      <w:r>
        <w:t>Выборка: n = 1920. Метод: точный биномиальный тест для несогласованных пар (эквивалент точного McNemar). Raw p-value: 0.000; adjusted p-value: 0.000; размер эффекта: 0.373.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2465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2465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Количество</w:t>
            </w:r>
          </w:p>
        </w:tc>
        <w:tc>
          <w:tcPr>
            <w:tcW w:type="dxa" w:w="2465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Доля</w:t>
            </w:r>
          </w:p>
        </w:tc>
        <w:tc>
          <w:tcPr>
            <w:tcW w:type="dxa" w:w="2465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95% ДИ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1294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67.4%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65.3%–69.5%</w:t>
            </w:r>
          </w:p>
        </w:tc>
      </w:tr>
      <w:tr>
        <w:trPr>
          <w:cantSplit/>
        </w:trPr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Качество мебели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578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30.1%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28.1%–32.2%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r>
              <w:rPr>
                <w:sz w:val="16"/>
              </w:rPr>
              <w:t>Обе причины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6"/>
              </w:rPr>
              <w:t>430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94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1_service_vs_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9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Ограничения: Тематики извлечены правилами из текста; один отзыв может содержать обе причины.</w:t>
      </w:r>
    </w:p>
    <w:p>
      <w:r>
        <w:rPr>
          <w:b/>
        </w:rPr>
        <w:t xml:space="preserve">Вердикт: </w:t>
      </w:r>
      <w:r>
        <w:t>подтверждена.</w:t>
      </w:r>
    </w:p>
    <w:p>
      <w:pPr>
        <w:pStyle w:val="Heading1"/>
      </w:pPr>
      <w:r>
        <w:t>9 Гипотеза 2</w:t>
      </w:r>
    </w:p>
    <w:p>
      <w:r>
        <w:t>Высокая скорость доставки связана с более высокой вероятностью положительной оценки.</w:t>
      </w:r>
    </w:p>
    <w:p>
      <w:r>
        <w:t>Выборка: n = 1411. Метод: chi-square; odds ratio fast vs slow; логистическая регрессия при достаточной выборке. Raw p-value: 0.000; adjusted p-value: 0.000; размер эффекта: 0.460.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Скорость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Положительных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Доля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95% ДИ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Быстро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677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589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87.0%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84.3%–89.3%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В срок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160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125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78.1%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71.1%–83.8%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r>
              <w:rPr>
                <w:sz w:val="16"/>
              </w:rPr>
              <w:t>Медленно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574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240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41.8%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37.8%–45.9%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94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2_delivery_spe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9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Ограничения: Скорость определена только по явным формулировкам текста; связь наблюдательная и не доказывает причинность.</w:t>
      </w:r>
    </w:p>
    <w:p>
      <w:r>
        <w:rPr>
          <w:b/>
        </w:rPr>
        <w:t xml:space="preserve">Вердикт: </w:t>
      </w:r>
      <w:r>
        <w:t>подтверждена.</w:t>
      </w:r>
    </w:p>
    <w:p>
      <w:pPr>
        <w:pStyle w:val="Heading1"/>
      </w:pPr>
      <w:r>
        <w:t>10 Гипотеза 3</w:t>
      </w:r>
    </w:p>
    <w:p>
      <w:r>
        <w:t>Наиболее частая причина возвратов и претензий — несоответствие товара описанию.</w:t>
      </w:r>
    </w:p>
    <w:p>
      <w:r>
        <w:t>Выборка: n = 479. Метод: точный парный биномиальный тест между двумя лидирующими multi-label причинами. Raw p-value: 0.003; adjusted p-value: 0.005; размер эффекта: 0.119.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2465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2465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Количество</w:t>
            </w:r>
          </w:p>
        </w:tc>
        <w:tc>
          <w:tcPr>
            <w:tcW w:type="dxa" w:w="2465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Доля</w:t>
            </w:r>
          </w:p>
        </w:tc>
        <w:tc>
          <w:tcPr>
            <w:tcW w:type="dxa" w:w="2465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95% ДИ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quality_defect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231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48.2%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43.8%–52.7%</w:t>
            </w:r>
          </w:p>
        </w:tc>
      </w:tr>
      <w:tr>
        <w:trPr>
          <w:cantSplit/>
        </w:trPr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other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174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36.3%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32.1%–40.7%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delivery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84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17.5%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14.4%–21.2%</w:t>
            </w:r>
          </w:p>
        </w:tc>
      </w:tr>
      <w:tr>
        <w:trPr>
          <w:cantSplit/>
        </w:trPr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damage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75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15.7%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12.7%–19.2%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dimensions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3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0.6%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0.2%–1.8%</w:t>
            </w:r>
          </w:p>
        </w:tc>
      </w:tr>
      <w:tr>
        <w:trPr>
          <w:cantSplit/>
        </w:trPr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incomplete_set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3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0.6%</w:t>
            </w:r>
          </w:p>
        </w:tc>
        <w:tc>
          <w:tcPr>
            <w:tcW w:type="dxa" w:w="2465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0.2%–1.8%</w:t>
            </w:r>
          </w:p>
        </w:tc>
      </w:tr>
      <w:tr>
        <w:trPr>
          <w:cantSplit/>
        </w:trPr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wrong_item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3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0.6%</w:t>
            </w:r>
          </w:p>
        </w:tc>
        <w:tc>
          <w:tcPr>
            <w:tcW w:type="dxa" w:w="2465"/>
            <w:vAlign w:val="center"/>
          </w:tcPr>
          <w:p>
            <w:pPr>
              <w:keepNext/>
            </w:pPr>
            <w:r>
              <w:rPr>
                <w:sz w:val="16"/>
              </w:rPr>
              <w:t>0.2%–1.8%</w:t>
            </w:r>
          </w:p>
        </w:tc>
      </w:tr>
      <w:tr>
        <w:trPr>
          <w:cantSplit/>
        </w:trPr>
        <w:tc>
          <w:tcPr>
            <w:tcW w:type="dxa" w:w="2465"/>
            <w:vAlign w:val="center"/>
            <w:shd w:fill="F3F6FA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2465"/>
            <w:vAlign w:val="center"/>
            <w:shd w:fill="F3F6FA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65"/>
            <w:vAlign w:val="center"/>
            <w:shd w:fill="F3F6FA"/>
          </w:tcPr>
          <w:p>
            <w:r>
              <w:rPr>
                <w:sz w:val="16"/>
              </w:rPr>
              <w:t>0.6%</w:t>
            </w:r>
          </w:p>
        </w:tc>
        <w:tc>
          <w:tcPr>
            <w:tcW w:type="dxa" w:w="2465"/>
            <w:vAlign w:val="center"/>
            <w:shd w:fill="F3F6FA"/>
          </w:tcPr>
          <w:p>
            <w:r>
              <w:rPr>
                <w:sz w:val="16"/>
              </w:rPr>
              <w:t>0.2%–1.8%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34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3_return_reas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34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Ограничения: Возвраты и причины извлечены из текста; возможны пропуски и несколько причин в одном отзыве.</w:t>
      </w:r>
    </w:p>
    <w:p>
      <w:r>
        <w:rPr>
          <w:b/>
        </w:rPr>
        <w:t xml:space="preserve">Вердикт: </w:t>
      </w:r>
      <w:r>
        <w:t>не подтверждена.</w:t>
      </w:r>
    </w:p>
    <w:p>
      <w:pPr>
        <w:pStyle w:val="Heading1"/>
      </w:pPr>
      <w:r>
        <w:t>11 Гипотеза 4</w:t>
      </w:r>
    </w:p>
    <w:p>
      <w:r>
        <w:t>Покупатели мягкой мебели оставляют более эмоциональные и длинные отзывы.</w:t>
      </w:r>
    </w:p>
    <w:p>
      <w:r>
        <w:t>Выборка: n = 5365. Метод: Mann-Whitney U отдельно для длины и эмоциональности. Raw p-value: 1.000; adjusted p-value: н.д.; размер эффекта: -0.121.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  <w:cantSplit/>
        </w:trPr>
        <w:tc>
          <w:tcPr>
            <w:tcW w:type="dxa" w:w="1408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1408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1408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1408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Среднее</w:t>
            </w:r>
          </w:p>
        </w:tc>
        <w:tc>
          <w:tcPr>
            <w:tcW w:type="dxa" w:w="1408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Медиана</w:t>
            </w:r>
          </w:p>
        </w:tc>
        <w:tc>
          <w:tcPr>
            <w:tcW w:type="dxa" w:w="1408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p-value</w:t>
            </w:r>
          </w:p>
        </w:tc>
        <w:tc>
          <w:tcPr>
            <w:tcW w:type="dxa" w:w="1408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Cliff delta</w:t>
            </w:r>
          </w:p>
        </w:tc>
      </w:tr>
      <w:tr>
        <w:trPr>
          <w:cantSplit/>
        </w:trPr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Количество слов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Мягкая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1561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45.504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32.000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1.000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-0.121</w:t>
            </w:r>
          </w:p>
        </w:tc>
      </w:tr>
      <w:tr>
        <w:trPr>
          <w:cantSplit/>
        </w:trPr>
        <w:tc>
          <w:tcPr>
            <w:tcW w:type="dxa" w:w="1408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Количество слов</w:t>
            </w:r>
          </w:p>
        </w:tc>
        <w:tc>
          <w:tcPr>
            <w:tcW w:type="dxa" w:w="1408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Корпусная</w:t>
            </w:r>
          </w:p>
        </w:tc>
        <w:tc>
          <w:tcPr>
            <w:tcW w:type="dxa" w:w="1408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3804</w:t>
            </w:r>
          </w:p>
        </w:tc>
        <w:tc>
          <w:tcPr>
            <w:tcW w:type="dxa" w:w="1408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54.945</w:t>
            </w:r>
          </w:p>
        </w:tc>
        <w:tc>
          <w:tcPr>
            <w:tcW w:type="dxa" w:w="1408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37.000</w:t>
            </w:r>
          </w:p>
        </w:tc>
        <w:tc>
          <w:tcPr>
            <w:tcW w:type="dxa" w:w="1408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—</w:t>
            </w:r>
          </w:p>
        </w:tc>
        <w:tc>
          <w:tcPr>
            <w:tcW w:type="dxa" w:w="1408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Эмоциональность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Мягкая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1561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0.336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0.289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0.945</w:t>
            </w:r>
          </w:p>
        </w:tc>
        <w:tc>
          <w:tcPr>
            <w:tcW w:type="dxa" w:w="1408"/>
            <w:vAlign w:val="center"/>
          </w:tcPr>
          <w:p>
            <w:pPr>
              <w:keepNext/>
            </w:pPr>
            <w:r>
              <w:rPr>
                <w:sz w:val="16"/>
              </w:rPr>
              <w:t>-0.028</w:t>
            </w:r>
          </w:p>
        </w:tc>
      </w:tr>
      <w:tr>
        <w:trPr>
          <w:cantSplit/>
        </w:trPr>
        <w:tc>
          <w:tcPr>
            <w:tcW w:type="dxa" w:w="1408"/>
            <w:vAlign w:val="center"/>
            <w:shd w:fill="F3F6FA"/>
          </w:tcPr>
          <w:p>
            <w:r>
              <w:rPr>
                <w:sz w:val="16"/>
              </w:rPr>
              <w:t>Эмоциональность</w:t>
            </w:r>
          </w:p>
        </w:tc>
        <w:tc>
          <w:tcPr>
            <w:tcW w:type="dxa" w:w="1408"/>
            <w:vAlign w:val="center"/>
            <w:shd w:fill="F3F6FA"/>
          </w:tcPr>
          <w:p>
            <w:r>
              <w:rPr>
                <w:sz w:val="16"/>
              </w:rPr>
              <w:t>Корпусная</w:t>
            </w:r>
          </w:p>
        </w:tc>
        <w:tc>
          <w:tcPr>
            <w:tcW w:type="dxa" w:w="1408"/>
            <w:vAlign w:val="center"/>
            <w:shd w:fill="F3F6FA"/>
          </w:tcPr>
          <w:p>
            <w:r>
              <w:rPr>
                <w:sz w:val="16"/>
              </w:rPr>
              <w:t>3804</w:t>
            </w:r>
          </w:p>
        </w:tc>
        <w:tc>
          <w:tcPr>
            <w:tcW w:type="dxa" w:w="1408"/>
            <w:vAlign w:val="center"/>
            <w:shd w:fill="F3F6FA"/>
          </w:tcPr>
          <w:p>
            <w:r>
              <w:rPr>
                <w:sz w:val="16"/>
              </w:rPr>
              <w:t>0.343</w:t>
            </w:r>
          </w:p>
        </w:tc>
        <w:tc>
          <w:tcPr>
            <w:tcW w:type="dxa" w:w="1408"/>
            <w:vAlign w:val="center"/>
            <w:shd w:fill="F3F6FA"/>
          </w:tcPr>
          <w:p>
            <w:r>
              <w:rPr>
                <w:sz w:val="16"/>
              </w:rPr>
              <w:t>0.305</w:t>
            </w:r>
          </w:p>
        </w:tc>
        <w:tc>
          <w:tcPr>
            <w:tcW w:type="dxa" w:w="1408"/>
            <w:vAlign w:val="center"/>
            <w:shd w:fill="F3F6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08"/>
            <w:vAlign w:val="center"/>
            <w:shd w:fill="F3F6FA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876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4_leng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8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928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4_emo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9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Ограничения: Тип мебели определяется по словам в отзыве; отзывы без однозначного типа исключены.</w:t>
      </w:r>
    </w:p>
    <w:p>
      <w:r>
        <w:rPr>
          <w:b/>
        </w:rPr>
        <w:t xml:space="preserve">Вердикт: </w:t>
      </w:r>
      <w:r>
        <w:t>не подтверждена.</w:t>
      </w:r>
    </w:p>
    <w:p>
      <w:r>
        <w:br w:type="page"/>
      </w:r>
    </w:p>
    <w:p>
      <w:pPr>
        <w:pStyle w:val="Heading1"/>
      </w:pPr>
      <w:r>
        <w:t>12 Гипотеза 5</w:t>
      </w:r>
    </w:p>
    <w:p>
      <w:r>
        <w:t>Чем выше цена товара, тем более подробный отзыв оставляет клиент.</w:t>
      </w:r>
    </w:p>
    <w:p>
      <w:r>
        <w:t>Выборка: n = 179. Метод: Spearman; bootstrap 95% CI; robust regression detail_score ~ log(price) + furniture_group. Raw p-value: 0.668; adjusted p-value: 1.000; размер эффекта: -0.032.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4929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Отзывы с явной ценой</w:t>
            </w:r>
          </w:p>
        </w:tc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179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Покрытие</w:t>
            </w:r>
          </w:p>
        </w:tc>
        <w:tc>
          <w:tcPr>
            <w:tcW w:type="dxa" w:w="4929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1.4%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Spearman rho</w:t>
            </w:r>
          </w:p>
        </w:tc>
        <w:tc>
          <w:tcPr>
            <w:tcW w:type="dxa" w:w="4929"/>
            <w:vAlign w:val="center"/>
          </w:tcPr>
          <w:p>
            <w:pPr>
              <w:keepNext/>
            </w:pPr>
            <w:r>
              <w:rPr>
                <w:sz w:val="16"/>
              </w:rPr>
              <w:t>-0.032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95% ДИ</w:t>
            </w:r>
          </w:p>
        </w:tc>
        <w:tc>
          <w:tcPr>
            <w:tcW w:type="dxa" w:w="4929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-0.183–0.117</w:t>
            </w:r>
          </w:p>
        </w:tc>
      </w:tr>
      <w:tr>
        <w:trPr>
          <w:cantSplit/>
        </w:trPr>
        <w:tc>
          <w:tcPr>
            <w:tcW w:type="dxa" w:w="4929"/>
            <w:vAlign w:val="center"/>
          </w:tcPr>
          <w:p>
            <w:r>
              <w:rPr>
                <w:sz w:val="16"/>
              </w:rPr>
              <w:t>Формула detail_score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6"/>
              </w:rPr>
              <w:t>Среднее z-оценок log1p(word_count), log1p(sentence_count), log1p(unique_words), log1p(aspects_count)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85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5_price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8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Ограничения: Цена отсутствует как поле и извлечена только из явных сумм в тексте; сумма может относиться не к товару, поэтому причинный вывод невозможен.</w:t>
      </w:r>
    </w:p>
    <w:p>
      <w:r>
        <w:rPr>
          <w:b/>
        </w:rPr>
        <w:t xml:space="preserve">Вердикт: </w:t>
      </w:r>
      <w:r>
        <w:t>не подтверждена.</w:t>
      </w:r>
    </w:p>
    <w:p>
      <w:pPr>
        <w:pStyle w:val="Heading1"/>
      </w:pPr>
      <w:r>
        <w:t>13 Аналитический монитор</w:t>
      </w:r>
    </w:p>
    <w:p>
      <w:r>
        <w:t>Для Yandex DataLens подготовлен плоский датасет, словарь полей и спецификация дашборда. Автоматическое создание монитора зависит от доступности авторизованной сессии Yandex DataLens; локальные материалы позволяют собрать его без повторной обработки данных.</w:t>
      </w:r>
    </w:p>
    <w:p>
      <w:pPr>
        <w:pStyle w:val="Heading1"/>
      </w:pPr>
      <w:r>
        <w:t>14 Основные потребности клиентов</w:t>
      </w:r>
    </w:p>
    <w:p>
      <w:r>
        <w:t>Потребности определяются по частоте и контексту упоминаний: предсказуемая доставка, корректная коммуникация, соответствие товара ожиданиям, отсутствие дефектов и понятный процесс претензии. Количественная приоритизация приведена в разделах гипотез и графике жалоб.</w:t>
      </w:r>
    </w:p>
    <w:p>
      <w:pPr>
        <w:pStyle w:val="Heading1"/>
      </w:pPr>
      <w:r>
        <w:t>15 Основные болевые точки</w:t>
      </w:r>
    </w:p>
    <w:p>
      <w:r>
        <w:t>Болевые точки сосредоточены в сервисных контактах, качестве и доставке. Их относительная значимость должна оцениваться по долям в негативных отзывах, а не по общей частоте слов, поскольку положительные отзывы также упоминают менеджеров и доставку.</w:t>
      </w:r>
    </w:p>
    <w:p>
      <w:pPr>
        <w:pStyle w:val="Heading1"/>
      </w:pPr>
      <w:r>
        <w:t>16 Рекомендации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Данные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Ожидаемый эффект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KPI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Негативные отзывы о сервисе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1294 из 1920 негативных отзывов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Разбирать обращения по этапам: консультация, доставка, сборка, гарантия; назначить владельца причины и срок ответа 24 часа.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Снижение повторных жалоб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Доля service_issue среди рейтингов 1–2; медиана времени ответа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Непредсказуемая доставка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Явно классифицировано 1411 отзывов о скорости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Фиксировать обещанную и фактическую дату, автоматически предупреждать о переносе и измерять соблюдение обещанного интервала.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Меньше негативных оценок, связанных с задержкой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On-time delivery; P(positive) по группам скорости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r>
              <w:rPr>
                <w:sz w:val="16"/>
              </w:rPr>
              <w:t>Возвраты и претензии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Проанализировано 479 отзывов с возвратом или претензией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Добавить обязательный код причины, фото дефекта и связь с карточкой товара; ежемесячно разбирать TOP-3 причин.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Быстрее устранять повторяющиеся дефекты карточек и комплектации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Доля каждой причины; срок закрытия претензии; повторяемость по SKU</w:t>
            </w:r>
          </w:p>
        </w:tc>
      </w:tr>
    </w:tbl>
    <w:p>
      <w:pPr>
        <w:pStyle w:val="Heading1"/>
      </w:pPr>
      <w:r>
        <w:t>17 Ограничения исследования</w:t>
      </w:r>
    </w:p>
    <w:p>
      <w:r>
        <w:t>Данные наблюдательные и не позволяют утверждать причинность. Категория, цена, скорость доставки и причины претензий отсутствуют в исходных колонках и извлекаются из текста. Не все отзывы содержат текст; относительные даты Google восстановлены приближенно относительно даты выгрузки. Автоматическая классификация требует дополнительной человеческой валидации перед операционными решениями.</w:t>
      </w:r>
    </w:p>
    <w:p>
      <w:pPr>
        <w:pStyle w:val="Heading1"/>
      </w:pPr>
      <w:r>
        <w:t>18 Заключение</w:t>
      </w:r>
    </w:p>
    <w:p>
      <w:r>
        <w:t>Исследование дает воспроизводимую оценку пяти гипотез без подгонки результатов. Наиболее надежны выводы, основанные на рейтинге и крупных подвыборках. Результаты, зависящие от редких упоминаний цены или возврата, интерпретируются с ограничениями.</w:t>
      </w:r>
    </w:p>
    <w:p>
      <w:r>
        <w:br w:type="page"/>
      </w:r>
    </w:p>
    <w:p>
      <w:pPr>
        <w:pStyle w:val="Heading1"/>
      </w:pPr>
      <w:r>
        <w:t>Сводная таблица гипотез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Гипотеза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Ключевые цифры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Статистическое основание</w:t>
            </w:r>
          </w:p>
        </w:tc>
        <w:tc>
          <w:tcPr>
            <w:tcW w:type="dxa" w:w="1972"/>
            <w:shd w:fill="1F4E78"/>
            <w:vAlign w:val="center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H1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подтверждена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n=1920; effect=0.373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p=0.000; adj=0.000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Тематики извлечены правилами из текста; один отзыв может содержать обе причины.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H2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подтверждена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n=1411; effect=0.460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p=0.000; adj=0.000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Скорость определена только по явным формулировкам текста; связь наблюдательная и не доказывает причинность.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H3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не подтверждена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n=479; effect=0.119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p=0.003; adj=0.005</w:t>
            </w:r>
          </w:p>
        </w:tc>
        <w:tc>
          <w:tcPr>
            <w:tcW w:type="dxa" w:w="1972"/>
            <w:vAlign w:val="center"/>
          </w:tcPr>
          <w:p>
            <w:pPr>
              <w:keepNext/>
            </w:pPr>
            <w:r>
              <w:rPr>
                <w:sz w:val="16"/>
              </w:rPr>
              <w:t>Возвраты и причины извлечены из текста; возможны пропуски и несколько причин в одном отзыве.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H4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не подтверждена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n=5365; effect=-0.121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p=1.000; adj=н.д.</w:t>
            </w:r>
          </w:p>
        </w:tc>
        <w:tc>
          <w:tcPr>
            <w:tcW w:type="dxa" w:w="1972"/>
            <w:vAlign w:val="center"/>
            <w:shd w:fill="F3F6FA"/>
          </w:tcPr>
          <w:p>
            <w:pPr>
              <w:keepNext/>
            </w:pPr>
            <w:r>
              <w:rPr>
                <w:sz w:val="16"/>
              </w:rPr>
              <w:t>Тип мебели определяется по словам в отзыве; отзывы без однозначного типа исключены.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r>
              <w:rPr>
                <w:sz w:val="16"/>
              </w:rPr>
              <w:t>H5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не подтверждена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n=179; effect=-0.032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p=0.668; adj=1.000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6"/>
              </w:rPr>
              <w:t>Цена отсутствует как поле и извлечена только из явных сумм в тексте; сумма может относиться не к товару, поэтому причинный вывод невозможен.</w:t>
            </w:r>
          </w:p>
        </w:tc>
      </w:tr>
    </w:tbl>
    <w:sectPr w:rsidR="00FC693F" w:rsidRPr="0006063C" w:rsidSect="00034616">
      <w:footerReference w:type="default" r:id="rId18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Анализ отзывов покупателей мебели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