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64135</wp:posOffset>
                </wp:positionV>
                <wp:extent cx="2630170" cy="55181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30170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shd w:val="clear" w:color="auto" w:fill="auto"/>
                                <w:lang w:val="en-US" w:eastAsia="en-US" w:bidi="en-US"/>
                              </w:rPr>
                              <w:t xml:space="preserve">-f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ЛИГД-СЕРТ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7.950000000000003pt;margin-top:5.0499999999999998pt;width:207.09999999999999pt;height:43.450000000000003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none"/>
                          <w:shd w:val="clear" w:color="auto" w:fill="auto"/>
                          <w:lang w:val="en-US" w:eastAsia="en-US" w:bidi="en-US"/>
                        </w:rPr>
                        <w:t xml:space="preserve">-f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ЛИГД-СЕРТ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 г. Москва, ул. Песчаный карьер, д.З, стр.1,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1112.21ПР52</w:t>
      </w:r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7" w:lineRule="auto"/>
        <w:ind w:left="0" w:right="0" w:firstLine="0"/>
        <w:jc w:val="center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538" w:left="5101" w:right="673" w:bottom="265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77.01.13.001.Л.000039.09.19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18" w:left="0" w:right="0" w:bottom="26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4"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18" w:left="633" w:right="674" w:bottom="26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2" w:left="0" w:right="0" w:bottom="267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3706"/>
        <w:gridCol w:w="6845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 и его адрес (юридический и фак</w:t>
              <w:softHyphen/>
              <w:t>тический)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ЮГ», МО, г. Подольск, ул. Юбилейная, д. 32 А; г. Москва, ул. Грина, д.15 (77030)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1/23 от 09.01.2023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ул. Грина, д. 15 (77030)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г., И ч. 00 мин.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г., 16ч.4О мин.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13435 от 18.12.2023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</w:t>
            </w:r>
          </w:p>
        </w:tc>
      </w:tr>
      <w:tr>
        <w:trPr>
          <w:trHeight w:val="226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10550" w:h="2414" w:vSpace="475" w:wrap="notBeside" w:vAnchor="text" w:hAnchor="text" w:x="128" w:y="4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pStyle w:val="Style21"/>
        <w:keepNext w:val="0"/>
        <w:keepLines w:val="0"/>
        <w:framePr w:w="3422" w:h="274" w:hSpace="127" w:wrap="notBeside" w:vAnchor="text" w:hAnchor="text" w:x="189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Протокол испытаний № 13435 /23-Д</w:t>
      </w:r>
    </w:p>
    <w:p>
      <w:pPr>
        <w:pStyle w:val="Style21"/>
        <w:keepNext w:val="0"/>
        <w:keepLines w:val="0"/>
        <w:framePr w:w="773" w:h="269" w:hSpace="127" w:wrap="notBeside" w:vAnchor="text" w:hAnchor="text" w:x="5466" w:y="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от «27»</w:t>
      </w:r>
    </w:p>
    <w:p>
      <w:pPr>
        <w:pStyle w:val="Style21"/>
        <w:keepNext w:val="0"/>
        <w:keepLines w:val="0"/>
        <w:framePr w:w="1872" w:h="312" w:hSpace="127" w:wrap="notBeside" w:vAnchor="text" w:hAnchor="text" w:x="6805" w:y="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декабря 20 23 г.</w:t>
      </w:r>
    </w:p>
    <w:p>
      <w:pPr>
        <w:widowControl w:val="0"/>
        <w:spacing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5"/>
        <w:gridCol w:w="6854"/>
      </w:tblGrid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13435-1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Полуфабрикат натуральный замороженный кусковой, мясокостный из ЦБ. Тушка в маринаде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10.13.14-002-94635803-2014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11.12.2023 г. Годен до 12.03.2024 г.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«Санкт-Петербургская куриная компания»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-18°С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1450 г</w:t>
            </w:r>
          </w:p>
        </w:tc>
      </w:tr>
      <w:tr>
        <w:trPr>
          <w:trHeight w:val="10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толя 2012 года№ 58.</w:t>
            </w:r>
          </w:p>
        </w:tc>
      </w:tr>
      <w:tr>
        <w:trPr>
          <w:trHeight w:val="27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С-ГШО/26-05- 2023/249187177,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042, СП № С-А/01-08-2023/267626388 до 31.07.2024 г. хроматограф газовый «Хро- матэк-Кристалл 5000.2» /ЭЗД/ТИД № 552363, СП 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 L20105478938, L20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155476179/ 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287, СП № С- ДИЭ/22-11-2023/296177912 до 21.11.2024 г.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СП№ С-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MA/08-1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1-2023/293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164641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 07.11.2024 г. анализатор микробиологиче</w:t>
              <w:softHyphen/>
              <w:t xml:space="preserve">ский «БакТрак- 4300, 24961-03, 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СП № С-ДЮП/06-12- 2022/212042408 до 05.12.2023 г.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-метр рН-150МИ №8297, СП № С-ДЮП/14-03-</w:t>
            </w:r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1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1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(f!)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Птл^мр.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иргтяилриия и пппппыоыыя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плгттр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тамт/глся тюпмгппя пгЬппмпяиттг.я тлпыгп птттр.пкиктм пппч/мяитпм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975995</wp:posOffset>
                </wp:positionH>
                <wp:positionV relativeFrom="paragraph">
                  <wp:posOffset>50800</wp:posOffset>
                </wp:positionV>
                <wp:extent cx="2176145" cy="551815"/>
                <wp:wrapSquare wrapText="righ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6145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6.849999999999994pt;margin-top:4.pt;width:171.34999999999999pt;height:43.450000000000003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60" w:line="240" w:lineRule="auto"/>
        <w:ind w:left="56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 г. Москва, ул. Песчаный карьер, д.З, стр.1,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1112.21ПР52 Лицензия: 77.01.13.001 .Л.000039.09.19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0"/>
        <w:gridCol w:w="6850"/>
      </w:tblGrid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13435-2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Полуфабрикат хлебобулочный замороженный. Пирог «Домашний» с творожной начинкой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9110-002-00346075-09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22.11.2023 г. Годен до 22.05.2024 г.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ОАО «КБК «Черёмушки»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-18°С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990 г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 № 58.</w:t>
            </w:r>
          </w:p>
        </w:tc>
      </w:tr>
      <w:tr>
        <w:trPr>
          <w:trHeight w:val="18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С-ГШО/26-05- 2023/249187177,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042, СП № С-А/01-08-2023/267626388 до 31.07.2024 г. хроматограф газовый «Хро- матэк-Кристалл 5000.2» /ЭЗД/ТИД № 552363, СП 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 L20105478938, L20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155476179/ 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9000, №13-5850Е-АТ 287, СП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Xs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 ДИЭ/22-11-2023/296177912 до 21.11.2024 г.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г.-24.12.2023 г.</w:t>
            </w:r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Физико-химические показатели:</w:t>
      </w:r>
    </w:p>
    <w:tbl>
      <w:tblPr>
        <w:tblOverlap w:val="never"/>
        <w:jc w:val="center"/>
        <w:tblLayout w:type="fixed"/>
      </w:tblPr>
      <w:tblGrid>
        <w:gridCol w:w="3696"/>
        <w:gridCol w:w="2290"/>
        <w:gridCol w:w="2270"/>
        <w:gridCol w:w="2294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 ТР ТС 029/2012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сорбиновой кислоты, мг/кг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бензойной кислоты, мг/кг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3701"/>
        <w:gridCol w:w="2285"/>
        <w:gridCol w:w="2270"/>
        <w:gridCol w:w="2299"/>
      </w:tblGrid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Токсичные элементы, мг/кг: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свинец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0,185±0,055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мышьяк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кадмий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0,005±0,002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53183-2008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Пестициды, мг/кг: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ГХЦГ(а, р, у - изомеры)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ДДТ и его метаболиты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-гексахлорбензол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ртутьорганические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 РК 2040-2010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- 2,4-Д кислота, ее соли, эфиры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1541-76</w:t>
            </w:r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Примечание. Результаты физико-химических испытаний рассчитаны как среднее арифметическое двух параллельных определений,</w:t>
      </w: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4262"/>
        <w:gridCol w:w="3240"/>
        <w:gridCol w:w="3302"/>
      </w:tblGrid>
      <w:tr>
        <w:trPr>
          <w:trHeight w:val="163" w:hRule="exact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оценка неопределенности (погрешности) получена при довер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tabs>
                <w:tab w:leader="hyphen" w:pos="240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B0C32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>й¥ейыюй-в€роят.ьюс.ти..УХ/о—</w:t>
            </w:r>
            <w:r>
              <w:rPr>
                <w:rFonts w:ascii="Arial" w:eastAsia="Arial" w:hAnsi="Arial" w:cs="Arial"/>
                <w:color w:val="1A228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 xml:space="preserve"> </w:t>
              <w:tab/>
              <w:t>—</w:t>
            </w:r>
          </w:p>
        </w:tc>
      </w:tr>
      <w:tr>
        <w:trPr>
          <w:trHeight w:val="1042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tabs>
                <w:tab w:pos="2986" w:val="left"/>
              </w:tabs>
              <w:bidi w:val="0"/>
              <w:spacing w:before="0" w:after="0" w:line="384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A228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 xml:space="preserve">Данная проба по исследованным показателям отвечает / не отвечает требованиям ТР ТС 021/2011 «О безопасности пищевой продукции» утв. Решением КТС от </w:t>
            </w:r>
            <w:r>
              <w:rPr>
                <w:rFonts w:ascii="Arial" w:eastAsia="Arial" w:hAnsi="Arial" w:cs="Arial"/>
                <w:color w:val="1A228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0JL12.11 </w:t>
            </w:r>
            <w:r>
              <w:rPr>
                <w:rFonts w:ascii="Arial" w:eastAsia="Arial" w:hAnsi="Arial" w:cs="Arial"/>
                <w:color w:val="1A228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>г. № 880</w:t>
              <w:tab/>
            </w:r>
            <w:r>
              <w:rPr>
                <w:rFonts w:ascii="Arial" w:eastAsia="Arial" w:hAnsi="Arial" w:cs="Arial"/>
                <w:color w:val="455592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>/.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4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1A228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>Санитарный врач ( /.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Страница 3 из 6</w:t>
            </w:r>
          </w:p>
        </w:tc>
      </w:tr>
      <w:tr>
        <w:trPr>
          <w:trHeight w:val="23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№ 13435/23-Д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/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19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19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50800</wp:posOffset>
                </wp:positionV>
                <wp:extent cx="2206625" cy="557530"/>
                <wp:wrapSquare wrapText="righ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6625" cy="557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ЛИГА-СЕРТ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79.849999999999994pt;margin-top:4.pt;width:173.75pt;height:43.899999999999999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ЛИГА-СЕРТ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 г. Москва, ул. Песчаный карьер, д.З, стр.1,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0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1112.21ПР52</w:t>
      </w:r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780" w:line="240" w:lineRule="auto"/>
        <w:ind w:left="6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77.01.13.001.Л.000039.09.19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556385" distB="420370" distL="0" distR="0" simplePos="0" relativeHeight="125829384" behindDoc="0" locked="0" layoutInCell="1" allowOverlap="1">
                <wp:simplePos x="0" y="0"/>
                <wp:positionH relativeFrom="page">
                  <wp:posOffset>3939540</wp:posOffset>
                </wp:positionH>
                <wp:positionV relativeFrom="paragraph">
                  <wp:posOffset>1556385</wp:posOffset>
                </wp:positionV>
                <wp:extent cx="679450" cy="15875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945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“^безопасности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10.19999999999999pt;margin-top:122.55pt;width:53.5pt;height:12.5pt;z-index:-125829369;mso-wrap-distance-left:0;mso-wrap-distance-top:122.55pt;mso-wrap-distance-right:0;mso-wrap-distance-bottom:33.100000000000001pt;mso-position-horizontal-relative:page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“^безопасности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06"/>
        <w:gridCol w:w="6850"/>
      </w:tblGrid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13435-4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Молоко питьевое пастеризованное м. д. жира 3,2%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10.51.11-064-13605199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14.12.2023 г. Годен до 30.12.2023 г.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«Милк Экспресс»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1400 г</w:t>
            </w:r>
          </w:p>
        </w:tc>
      </w:tr>
      <w:tr>
        <w:trPr>
          <w:trHeight w:val="8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033/2013 «О безопасности молока и молочной продукции», утв. Решением Совета ЕЭК от 9 октября 2013 года № 67 приложение 8.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СП№ С- МА/08-11-2023/293164641 до 07.11.2024 г.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-метр рН-150МИ №8297, СП № С-ДЮП/14-03-2023/231381231 до 13.03.2024 г.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г.-24.12.2023 г.</w:t>
            </w:r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4123"/>
        <w:gridCol w:w="2434"/>
        <w:gridCol w:w="2270"/>
        <w:gridCol w:w="1718"/>
      </w:tblGrid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мезофильных, аэробных и факульта</w:t>
              <w:softHyphen/>
              <w:t>тивно-анаэробных микроорганизмов, КОЕ/см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3,0х10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не более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1,0x10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32901-2014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 (колиформы)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обнаружены в 0,01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0,01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32901-2014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S. aureus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1,0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1,0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30347-2016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32031-2012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Патогенные микроорганизмы, в т.ч. сальмонеллы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см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31659-2012</w:t>
            </w:r>
          </w:p>
        </w:tc>
      </w:tr>
    </w:tbl>
    <w:p>
      <w:pPr>
        <w:pStyle w:val="Style31"/>
        <w:keepNext w:val="0"/>
        <w:keepLines w:val="0"/>
        <w:widowControl w:val="0"/>
        <w:shd w:val="clear" w:color="auto" w:fill="auto"/>
        <w:tabs>
          <w:tab w:leader="underscore" w:pos="4042" w:val="left"/>
          <w:tab w:leader="underscore" w:pos="4406" w:val="left"/>
          <w:tab w:leader="underscore" w:pos="92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Протокол № 13435/23-Д</w:t>
      </w:r>
      <w:r>
        <w:rPr>
          <w:color w:val="000000"/>
          <w:spacing w:val="0"/>
          <w:w w:val="100"/>
          <w:position w:val="0"/>
          <w:u w:val="none"/>
          <w:shd w:val="clear" w:color="auto" w:fill="auto"/>
          <w:lang w:val="ru-RU" w:eastAsia="ru-RU" w:bidi="ru-RU"/>
        </w:rPr>
        <w:tab/>
        <w:tab/>
        <w:tab/>
      </w:r>
      <w:r>
        <w:rPr>
          <w:strike/>
          <w:color w:val="000000"/>
          <w:spacing w:val="0"/>
          <w:w w:val="100"/>
          <w:position w:val="0"/>
          <w:u w:val="none"/>
          <w:shd w:val="clear" w:color="auto" w:fill="auto"/>
          <w:lang w:val="ru-RU" w:eastAsia="ru-RU" w:bidi="ru-RU"/>
        </w:rPr>
        <w:t>Страница 5 из 6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532" w:left="476" w:right="620" w:bottom="26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6299835</wp:posOffset>
              </wp:positionH>
              <wp:positionV relativeFrom="page">
                <wp:posOffset>170815</wp:posOffset>
              </wp:positionV>
              <wp:extent cx="762000" cy="9461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ru-RU" w:eastAsia="ru-RU" w:bidi="ru-RU"/>
                            </w:rPr>
                            <w:t>Ф 1-28/05-2023-Д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6.05000000000001pt;margin-top:13.449999999999999pt;width:60.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ru-RU" w:eastAsia="ru-RU" w:bidi="ru-RU"/>
                      </w:rPr>
                      <w:t>Ф 1-28/05-2023-Д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6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single"/>
    </w:rPr>
  </w:style>
  <w:style w:type="character" w:customStyle="1" w:styleId="CharStyle6">
    <w:name w:val="Основной текст (2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Основной текст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1">
    <w:name w:val="Колонтитул (2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Основной текст (4)_"/>
    <w:basedOn w:val="DefaultParagraphFont"/>
    <w:link w:val="Style14"/>
    <w:rPr>
      <w:rFonts w:ascii="Verdana" w:eastAsia="Verdana" w:hAnsi="Verdana" w:cs="Verdana"/>
      <w:b/>
      <w:bCs/>
      <w:i/>
      <w:iCs/>
      <w:smallCaps w:val="0"/>
      <w:strike w:val="0"/>
      <w:sz w:val="48"/>
      <w:szCs w:val="48"/>
      <w:u w:val="single"/>
    </w:rPr>
  </w:style>
  <w:style w:type="character" w:customStyle="1" w:styleId="CharStyle17">
    <w:name w:val="Основной текст (5)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color w:val="1A2286"/>
      <w:sz w:val="12"/>
      <w:szCs w:val="12"/>
      <w:u w:val="none"/>
    </w:rPr>
  </w:style>
  <w:style w:type="character" w:customStyle="1" w:styleId="CharStyle19">
    <w:name w:val="Другое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Подпись к таблице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32">
    <w:name w:val="Основной текст (3)_"/>
    <w:basedOn w:val="DefaultParagraphFont"/>
    <w:link w:val="Style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  <w:style w:type="paragraph" w:customStyle="1" w:styleId="Style2">
    <w:name w:val="Основной текст (6)"/>
    <w:basedOn w:val="Normal"/>
    <w:link w:val="CharStyle3"/>
    <w:pPr>
      <w:widowControl w:val="0"/>
      <w:shd w:val="clear" w:color="auto" w:fill="FFFFFF"/>
      <w:jc w:val="righ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single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Основной текст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0">
    <w:name w:val="Колонтитул (2)"/>
    <w:basedOn w:val="Normal"/>
    <w:link w:val="CharStyle1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Основной текст (4)"/>
    <w:basedOn w:val="Normal"/>
    <w:link w:val="CharStyle15"/>
    <w:pPr>
      <w:widowControl w:val="0"/>
      <w:shd w:val="clear" w:color="auto" w:fill="FFFFFF"/>
      <w:spacing w:after="50"/>
    </w:pPr>
    <w:rPr>
      <w:rFonts w:ascii="Verdana" w:eastAsia="Verdana" w:hAnsi="Verdana" w:cs="Verdana"/>
      <w:b/>
      <w:bCs/>
      <w:i/>
      <w:iCs/>
      <w:smallCaps w:val="0"/>
      <w:strike w:val="0"/>
      <w:sz w:val="48"/>
      <w:szCs w:val="48"/>
      <w:u w:val="single"/>
    </w:rPr>
  </w:style>
  <w:style w:type="paragraph" w:customStyle="1" w:styleId="Style16">
    <w:name w:val="Основной текст (5)"/>
    <w:basedOn w:val="Normal"/>
    <w:link w:val="CharStyle17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A2286"/>
      <w:sz w:val="12"/>
      <w:szCs w:val="12"/>
      <w:u w:val="none"/>
    </w:rPr>
  </w:style>
  <w:style w:type="paragraph" w:customStyle="1" w:styleId="Style18">
    <w:name w:val="Другое"/>
    <w:basedOn w:val="Normal"/>
    <w:link w:val="CharStyle1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Подпись к таблице"/>
    <w:basedOn w:val="Normal"/>
    <w:link w:val="CharStyle22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1">
    <w:name w:val="Основной текст (3)"/>
    <w:basedOn w:val="Normal"/>
    <w:link w:val="CharStyle32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