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1052195</wp:posOffset>
                </wp:positionH>
                <wp:positionV relativeFrom="paragraph">
                  <wp:posOffset>54610</wp:posOffset>
                </wp:positionV>
                <wp:extent cx="2176145" cy="560705"/>
                <wp:wrapSquare wrapText="bothSides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76145" cy="5607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ЛИГА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-CEPT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Испытательная лаборатория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2.849999999999994pt;margin-top:4.2999999999999998pt;width:171.34999999999999pt;height:44.149999999999999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ЛИГА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-CEPT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Испытательная лаборатория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Общество с ограниченной ответственностью «ЛИГА-СЕРТ»</w:t>
        <w:br/>
        <w:t>(ООО «ЛИГА-СЕРТ»)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109383, г. Москва, вн.тер.г.муниципальный округ Печатники,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ул. Песчаный карьер, д.З, стр.1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ИСПЫТАТЕЛЬНАЯ ЛАБОРАТОРИЯ</w:t>
      </w:r>
    </w:p>
    <w:p>
      <w:pPr>
        <w:pStyle w:val="Style6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headerReference w:type="default" r:id="rId5"/>
          <w:footnotePr>
            <w:pos w:val="pageBottom"/>
            <w:numFmt w:val="decimal"/>
            <w:numRestart w:val="continuous"/>
          </w:footnotePr>
          <w:pgSz w:w="11900" w:h="16840"/>
          <w:pgMar w:top="540" w:left="5084" w:right="730" w:bottom="244" w:header="0" w:footer="3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Фактический адрес места осуществления деятельности:</w:t>
        <w:br/>
        <w:t>109383 г. Москва, ул. Песчаный карьер, д.З, стр.1,</w:t>
        <w:br/>
        <w:t xml:space="preserve">тел.: 8 (495)379-51-11,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e-mail: </w:t>
      </w:r>
      <w:r>
        <w:fldChar w:fldCharType="begin"/>
      </w:r>
      <w:r>
        <w:rPr/>
        <w:instrText> HYPERLINK "mailto:lab@labsert.ru" </w:instrText>
      </w:r>
      <w:r>
        <w:fldChar w:fldCharType="separate"/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lab@labsert.ru</w:t>
      </w:r>
      <w:r>
        <w:fldChar w:fldCharType="end"/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Аттестат аккредитации: РОСС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RU.3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1112.21ПР52</w:t>
        <w:br/>
        <w:t>Лицензия: 77.01.13.001 .Л.000039.09.19</w:t>
      </w:r>
    </w:p>
    <w:p>
      <w:pPr>
        <w:widowControl w:val="0"/>
        <w:spacing w:before="49" w:after="4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549" w:left="0" w:right="0" w:bottom="244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79"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549" w:left="586" w:right="729" w:bottom="244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99" w:lineRule="exact"/>
        <w:rPr>
          <w:sz w:val="8"/>
          <w:szCs w:val="8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539" w:left="0" w:right="0" w:bottom="245" w:header="0" w:footer="3" w:gutter="0"/>
          <w:cols w:space="720"/>
          <w:noEndnote/>
          <w:rtlGutter w:val="0"/>
          <w:docGrid w:linePitch="360"/>
        </w:sectPr>
      </w:pPr>
    </w:p>
    <w:tbl>
      <w:tblPr>
        <w:tblOverlap w:val="never"/>
        <w:jc w:val="left"/>
        <w:tblLayout w:type="fixed"/>
      </w:tblPr>
      <w:tblGrid>
        <w:gridCol w:w="3706"/>
        <w:gridCol w:w="6850"/>
      </w:tblGrid>
      <w:tr>
        <w:trPr>
          <w:trHeight w:val="47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10555" w:h="2443" w:vSpace="461" w:wrap="notBeside" w:vAnchor="text" w:hAnchor="text" w:x="126" w:y="462"/>
              <w:widowControl w:val="0"/>
              <w:shd w:val="clear" w:color="auto" w:fill="auto"/>
              <w:bidi w:val="0"/>
              <w:spacing w:before="0" w:after="0" w:line="233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Заявитель и его адрес (юридический и фак</w:t>
              <w:softHyphen/>
              <w:t>тический)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10555" w:h="2443" w:vSpace="461" w:wrap="notBeside" w:vAnchor="text" w:hAnchor="text" w:x="126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АО «ДИКСИ ЮГ», МО, г. Подольск, ул. Юбилейная, д. 32 А;</w:t>
            </w:r>
          </w:p>
          <w:p>
            <w:pPr>
              <w:pStyle w:val="Style13"/>
              <w:keepNext w:val="0"/>
              <w:keepLines w:val="0"/>
              <w:framePr w:w="10555" w:h="2443" w:vSpace="461" w:wrap="notBeside" w:vAnchor="text" w:hAnchor="text" w:x="126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МО, г. Серпухов, ул. Юбилейная, д.15 (90344)</w:t>
            </w:r>
          </w:p>
        </w:tc>
      </w:tr>
      <w:tr>
        <w:trPr>
          <w:trHeight w:val="21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framePr w:w="10555" w:h="2443" w:vSpace="461" w:wrap="notBeside" w:vAnchor="text" w:hAnchor="text" w:x="126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Номер заявки и дата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framePr w:w="10555" w:h="2443" w:vSpace="461" w:wrap="notBeside" w:vAnchor="text" w:hAnchor="text" w:x="126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№ 1/23 от 09.01.2023 г.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10555" w:h="2443" w:vSpace="461" w:wrap="notBeside" w:vAnchor="text" w:hAnchor="text" w:x="126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Место отбора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10555" w:h="2443" w:vSpace="461" w:wrap="notBeside" w:vAnchor="text" w:hAnchor="text" w:x="126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МО, г. Серпухов, ул. Юбилейная, д.15 (90344)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10555" w:h="2443" w:vSpace="461" w:wrap="notBeside" w:vAnchor="text" w:hAnchor="text" w:x="126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и время отбора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10555" w:h="2443" w:vSpace="461" w:wrap="notBeside" w:vAnchor="text" w:hAnchor="text" w:x="126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18.12.2023 г., 14 ч. 10 мин.</w:t>
            </w:r>
          </w:p>
        </w:tc>
      </w:tr>
      <w:tr>
        <w:trPr>
          <w:trHeight w:val="42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framePr w:w="10555" w:h="2443" w:vSpace="461" w:wrap="notBeside" w:vAnchor="text" w:hAnchor="text" w:x="126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Ф.И.О., должность сотрудника, произво</w:t>
              <w:softHyphen/>
              <w:t>дившего отбор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10555" w:h="2443" w:vSpace="461" w:wrap="notBeside" w:vAnchor="text" w:hAnchor="text" w:x="126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Руденко Н.А., помощник сан/врача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10555" w:h="2443" w:vSpace="461" w:wrap="notBeside" w:vAnchor="text" w:hAnchor="text" w:x="126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и время доставки проб в лабораторию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10555" w:h="2443" w:vSpace="461" w:wrap="notBeside" w:vAnchor="text" w:hAnchor="text" w:x="126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18.12.2023 г., 16 ч. 40 мин.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10555" w:h="2443" w:vSpace="461" w:wrap="notBeside" w:vAnchor="text" w:hAnchor="text" w:x="126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Сопроводительные документы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10555" w:h="2443" w:vSpace="461" w:wrap="notBeside" w:vAnchor="text" w:hAnchor="text" w:x="126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Акт отбора проб № 13432 от 18.12.2023 г.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framePr w:w="10555" w:h="2443" w:vSpace="461" w:wrap="notBeside" w:vAnchor="text" w:hAnchor="text" w:x="126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Количество зашифрованных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framePr w:w="10555" w:h="2443" w:vSpace="461" w:wrap="notBeside" w:vAnchor="text" w:hAnchor="text" w:x="126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3</w:t>
            </w:r>
          </w:p>
        </w:tc>
      </w:tr>
      <w:tr>
        <w:trPr>
          <w:trHeight w:val="240" w:hRule="exact"/>
        </w:trPr>
        <w:tc>
          <w:tcPr>
            <w:gridSpan w:val="2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framePr w:w="10555" w:h="2443" w:vSpace="461" w:wrap="notBeside" w:vAnchor="text" w:hAnchor="text" w:x="126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Протокол составлен в 2-х экземплярах</w:t>
            </w:r>
          </w:p>
        </w:tc>
      </w:tr>
    </w:tbl>
    <w:p>
      <w:pPr>
        <w:pStyle w:val="Style16"/>
        <w:keepNext w:val="0"/>
        <w:keepLines w:val="0"/>
        <w:framePr w:w="3418" w:h="278" w:hSpace="125" w:wrap="notBeside" w:vAnchor="text" w:hAnchor="text" w:x="1902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ru-RU" w:eastAsia="ru-RU" w:bidi="ru-RU"/>
        </w:rPr>
        <w:t>Протокол испытаний № 13432 /23-Д</w:t>
      </w:r>
    </w:p>
    <w:p>
      <w:pPr>
        <w:pStyle w:val="Style16"/>
        <w:keepNext w:val="0"/>
        <w:keepLines w:val="0"/>
        <w:framePr w:w="773" w:h="269" w:hSpace="125" w:wrap="notBeside" w:vAnchor="text" w:hAnchor="text" w:x="5468" w:y="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ru-RU" w:eastAsia="ru-RU" w:bidi="ru-RU"/>
        </w:rPr>
        <w:t>от «27»</w:t>
      </w:r>
    </w:p>
    <w:p>
      <w:pPr>
        <w:pStyle w:val="Style16"/>
        <w:keepNext w:val="0"/>
        <w:keepLines w:val="0"/>
        <w:framePr w:w="1872" w:h="322" w:hSpace="125" w:wrap="notBeside" w:vAnchor="text" w:hAnchor="text" w:x="6808" w:y="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ru-RU" w:eastAsia="ru-RU" w:bidi="ru-RU"/>
        </w:rPr>
        <w:t>декабря 20 23 г.</w:t>
      </w:r>
    </w:p>
    <w:p>
      <w:pPr>
        <w:widowControl w:val="0"/>
        <w:spacing w:line="1" w:lineRule="exact"/>
      </w:pP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ru-RU" w:eastAsia="ru-RU" w:bidi="ru-RU"/>
        </w:rPr>
        <w:t>Данные о пробе</w:t>
      </w:r>
    </w:p>
    <w:tbl>
      <w:tblPr>
        <w:tblOverlap w:val="never"/>
        <w:jc w:val="center"/>
        <w:tblLayout w:type="fixed"/>
      </w:tblPr>
      <w:tblGrid>
        <w:gridCol w:w="3706"/>
        <w:gridCol w:w="6854"/>
      </w:tblGrid>
      <w:tr>
        <w:trPr>
          <w:trHeight w:val="23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Шифр пробы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13432-1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Группа продукции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Продукция производителя</w:t>
            </w:r>
          </w:p>
        </w:tc>
      </w:tr>
      <w:tr>
        <w:trPr>
          <w:trHeight w:val="62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Наименование продукции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Полуфабрикат хлебобулочный замороженный «Октион». Тестовые заготовки слоен</w:t>
              <w:softHyphen/>
              <w:t>ных хлебобулочных изделий. Улитка греческая «Косичка» с курицей, рисом и ово</w:t>
              <w:softHyphen/>
              <w:t>щами</w:t>
            </w:r>
          </w:p>
        </w:tc>
      </w:tr>
      <w:tr>
        <w:trPr>
          <w:trHeight w:val="21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НД на продукцию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ТУ 10.72.19-004-59142652-2017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производства продукции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19.11.2023 г. Годен до 16.05.2024 г.</w:t>
            </w:r>
          </w:p>
        </w:tc>
      </w:tr>
      <w:tr>
        <w:trPr>
          <w:trHeight w:val="41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Производитель (фирма, предприятие, орга</w:t>
              <w:softHyphen/>
              <w:t>низация)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ООО «Октион»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Условия доставки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Автотранспорт, сумка-холодильник</w:t>
            </w:r>
          </w:p>
        </w:tc>
      </w:tr>
      <w:tr>
        <w:trPr>
          <w:trHeight w:val="21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Температура при доставке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-18°С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Нарушения при доставке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Упаковка не нарушена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Вид упаковки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Производственная упаковка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Масса пробы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6x180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</w:t>
            </w:r>
          </w:p>
        </w:tc>
      </w:tr>
      <w:tr>
        <w:trPr>
          <w:trHeight w:val="105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Цель исследования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Производственный контроль. На соответствие требованиям ТР ТС 021/2011 «О без</w:t>
              <w:softHyphen/>
              <w:t>опасности пищевой продукции», утв. Решением КТС от 9 декабря 2011 года № 880. На соответствие требованиям ТР ТС 029/2012 "Требования безопасности пищевых добавок, ароматизаторов и технологических вспомогательных средств", утв. Реше</w:t>
              <w:softHyphen/>
              <w:t>нием Совета ЕЭК от 20 июля 2012 года № 58.</w:t>
            </w:r>
          </w:p>
        </w:tc>
      </w:tr>
      <w:tr>
        <w:trPr>
          <w:trHeight w:val="2549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Сведения о СИ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Весы лабораторные электронные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AF-R220CE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№ 086550117, СП № С-ГШО/26-05- 2023/249187177, до 25.05.2024 г. спектрометр атомно-абсорбционный «Квант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-ZwNs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042, СП № С-А/01-08-2023/2676263 88 до 31.07.2024 г. хроматограф газовый «Хро- матэк-Кристалл 5000.2»/ЭЗД/ТИД № 552363, СП№ С-ДЫТ/17-08-2023/274260520 до 16.08.2024 г. хроматограф жидкостной/ионный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Shimadzu Prominence L20495373590/ L20105478938, L20155476179/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20105478938, СП № С-ДЫТ/04-07- 2023/261392289 до 03.07.24 г. спектрометр атомно-эмиссионный с индуктивно</w:t>
              <w:softHyphen/>
              <w:t xml:space="preserve">связанной плазмой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PlasmaQuant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мод.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PQ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9000, №13-5850Е-АТ 287, СП № С- ДИЭ/22-11-2023/296177912 до 21.11.2024 г.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Генератор концентрации биодоз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Delta Dilutor Standard,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(39629-08), 100025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10S/448,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СП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№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С- МА/08-11-2023/293164641 до 07.11.2024 г. анализатор микробиологиче</w:t>
              <w:softHyphen/>
              <w:t xml:space="preserve">ский «БакТрак- 4300, 24961-03, №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S4310V15HEO6,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СП № С-ДЮП/06-12-</w:t>
            </w:r>
          </w:p>
        </w:tc>
      </w:tr>
    </w:tbl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4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© Запрещается воспроизведение протокола не в полном объеме без разрешения ООО «ЛИГА-СЕРТ»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14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© Испытательная лаборатория несет ответственность за всю информацию, представленную в протоколе испытаний, за исключением случаев, когда информация предоставляется заказчиком.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44" w:right="0" w:firstLine="0"/>
        <w:jc w:val="left"/>
        <w:rPr>
          <w:sz w:val="8"/>
          <w:szCs w:val="8"/>
        </w:rPr>
      </w:pPr>
      <w:r>
        <w:rPr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ru-RU" w:eastAsia="ru-RU" w:bidi="ru-RU"/>
        </w:rPr>
        <w:t xml:space="preserve">© </w:t>
      </w:r>
      <w:r>
        <w:rPr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 xml:space="preserve">TTmfiwA </w:t>
      </w:r>
      <w:r>
        <w:rPr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ru-RU" w:eastAsia="ru-RU" w:bidi="ru-RU"/>
        </w:rPr>
        <w:t xml:space="preserve">иг </w:t>
      </w:r>
      <w:r>
        <w:rPr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 xml:space="preserve">irnan </w:t>
      </w:r>
      <w:r>
        <w:rPr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ru-RU" w:eastAsia="ru-RU" w:bidi="ru-RU"/>
        </w:rPr>
        <w:t xml:space="preserve">прими и </w:t>
      </w:r>
      <w:r>
        <w:rPr>
          <w:b/>
          <w:bCs/>
          <w:smallCap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ru-RU" w:eastAsia="ru-RU" w:bidi="ru-RU"/>
        </w:rPr>
        <w:t>паплпмяиия</w:t>
      </w:r>
      <w:r>
        <w:rPr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ru-RU" w:eastAsia="ru-RU" w:bidi="ru-RU"/>
        </w:rPr>
        <w:t xml:space="preserve"> ппгпр пыгтирпгя ТТППТП1ГППЯ пАппмпяштгя ТППЫГА ПТПАПЬМММ тгтогатпи</w:t>
      </w:r>
      <w:r>
        <w:br w:type="page"/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mc:AlternateContent>
          <mc:Choice Requires="wps">
            <w:drawing>
              <wp:anchor distT="0" distB="0" distL="114300" distR="114300" simplePos="0" relativeHeight="125829380" behindDoc="0" locked="0" layoutInCell="1" allowOverlap="1">
                <wp:simplePos x="0" y="0"/>
                <wp:positionH relativeFrom="page">
                  <wp:posOffset>989965</wp:posOffset>
                </wp:positionH>
                <wp:positionV relativeFrom="paragraph">
                  <wp:posOffset>50800</wp:posOffset>
                </wp:positionV>
                <wp:extent cx="2176145" cy="548640"/>
                <wp:wrapSquare wrapText="right"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76145" cy="5486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ЛИГА-СЕРТ^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Испытательная лаборатория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77.950000000000003pt;margin-top:4.pt;width:171.34999999999999pt;height:43.200000000000003pt;z-index:-125829373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ЛИГА-СЕРТ^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Испытательная лаборатория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Общество с ограниченной ответственностью «ЛИГА-СЕРТ»</w:t>
        <w:br/>
        <w:t>(ООО «ЛИГА-СЕРТ»)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109383, г. Москва, вн.тер.г.муниципальный округ Печатники,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18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ул. Песчаный карьер, д.З, стр.1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5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ИСПЫТАТЕЛЬНАЯ ЛАБОРАТОРИЯ</w:t>
      </w:r>
    </w:p>
    <w:p>
      <w:pPr>
        <w:pStyle w:val="Style6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200" w:line="240" w:lineRule="auto"/>
        <w:ind w:left="56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Фактический адрес места осуществления деятельности: 109383 г. Москва, ул. Песчаный карьер, д.З, стр.1, тел.: 8 (495)379-51-11,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e-mail: </w:t>
      </w:r>
      <w:r>
        <w:fldChar w:fldCharType="begin"/>
      </w:r>
      <w:r>
        <w:rPr/>
        <w:instrText> HYPERLINK "mailto:lab@labsert.ru" </w:instrText>
      </w:r>
      <w:r>
        <w:fldChar w:fldCharType="separate"/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lab@labsert.ru</w:t>
      </w:r>
      <w:r>
        <w:fldChar w:fldCharType="end"/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Аттестат аккредитации: РОСС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RU.31112.21IIP52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Лицензия: 77.01.13.001.Л.000039.09.19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ru-RU" w:eastAsia="ru-RU" w:bidi="ru-RU"/>
        </w:rPr>
        <w:t>Данные о пробе</w:t>
      </w:r>
    </w:p>
    <w:tbl>
      <w:tblPr>
        <w:tblOverlap w:val="never"/>
        <w:jc w:val="center"/>
        <w:tblLayout w:type="fixed"/>
      </w:tblPr>
      <w:tblGrid>
        <w:gridCol w:w="3715"/>
        <w:gridCol w:w="6850"/>
      </w:tblGrid>
      <w:tr>
        <w:trPr>
          <w:trHeight w:val="26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Шифр пробы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13432-2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Группа продукции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Производство магазина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Наименование продукции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Улитка греческая «Косичка» с курицей, рисом и овощами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НД на продукцию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производства продукции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27.09.2023 г. Годен до 27.09.2024 г.</w:t>
            </w:r>
          </w:p>
        </w:tc>
      </w:tr>
      <w:tr>
        <w:trPr>
          <w:trHeight w:val="43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3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Производитель (фирма, предприятие, орга</w:t>
              <w:softHyphen/>
              <w:t>низация)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АО «Дикси ЮГ» №90344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Условия доставки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Автотранспорт, сумка-холодильник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Температура при доставке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+з°с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Нарушения при доставке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Упаковка не нарушена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Вид упаковки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Производственная упаковка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Масса пробы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5x180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</w:t>
            </w:r>
          </w:p>
        </w:tc>
      </w:tr>
      <w:tr>
        <w:trPr>
          <w:trHeight w:val="10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Цель исследования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Производственный контроль. На соответствие требованиям ТР ТС 021/2011 «О без</w:t>
              <w:softHyphen/>
              <w:t>опасности пищевой продукции», утв. Решением КТС от 9 декабря 2011 года № 880. На соответствие требованиям ТР ТС 029/2012 "Требования безопасности пищевых добавок, ароматизаторов и технологических вспомогательных средств", утв. Реше</w:t>
              <w:softHyphen/>
              <w:t>нием Совета ЕЭК от 20 июля 2012 года № 58.</w:t>
            </w:r>
          </w:p>
        </w:tc>
      </w:tr>
      <w:tr>
        <w:trPr>
          <w:trHeight w:val="189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Сведения о СИ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Весы лабораторные электронные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AF-R220CE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№ 086550117, СП № С-ППО/26-05- 2023/249187177, до 25.05.2024 г. спектрометр атомно-абсорбционный «Квант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-Z»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№ 042, СП № С-А/01-08-2023/2676263 88 до 31.07.2024 г. хроматограф газовый «Хро- матэк-Кристалл 5000.2» /ЭЗД/ТИД № 552363, СП № С-ДЫТ/17-08-2023/274260520 до 16.08.2024 г. хроматограф жидкостной/ионный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Shimadzu Prominence L20495373590/ L20105478938, L20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155476179/ 20105478938, СП № С-ДЫТ/04-07- 2023/261392289 до 03.07.24 г. спектрометр атомно-эмиссионный с индуктивно</w:t>
              <w:softHyphen/>
              <w:t xml:space="preserve">связанной плазмой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PlasmaQuant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мод.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PQ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9000, №13-5850Е-АТ 287, СП № С- ДИЭ/22-11-2023/296177912 до 21.11.2024 г.</w:t>
            </w:r>
          </w:p>
        </w:tc>
      </w:tr>
      <w:tr>
        <w:trPr>
          <w:trHeight w:val="22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проведения исследований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18.12.2023 г.-24.12.2023 г.</w:t>
            </w:r>
          </w:p>
        </w:tc>
      </w:tr>
    </w:tbl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ru-RU" w:eastAsia="ru-RU" w:bidi="ru-RU"/>
        </w:rPr>
        <w:t>Результаты исследований</w:t>
      </w:r>
    </w:p>
    <w:p>
      <w:pPr>
        <w:widowControl w:val="0"/>
        <w:spacing w:after="159" w:line="1" w:lineRule="exact"/>
      </w:pPr>
    </w:p>
    <w:p>
      <w:pPr>
        <w:widowControl w:val="0"/>
        <w:spacing w:line="1" w:lineRule="exact"/>
      </w:pP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ru-RU" w:eastAsia="ru-RU" w:bidi="ru-RU"/>
        </w:rPr>
        <w:t>Физико-химические показатели:</w:t>
      </w:r>
    </w:p>
    <w:tbl>
      <w:tblPr>
        <w:tblOverlap w:val="never"/>
        <w:jc w:val="center"/>
        <w:tblLayout w:type="fixed"/>
      </w:tblPr>
      <w:tblGrid>
        <w:gridCol w:w="4128"/>
        <w:gridCol w:w="2290"/>
        <w:gridCol w:w="2131"/>
        <w:gridCol w:w="2006"/>
      </w:tblGrid>
      <w:tr>
        <w:trPr>
          <w:trHeight w:val="4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Наименование показателя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Результат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Требования НД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ТР ТС 029/2012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НД на методы испытаний</w:t>
            </w:r>
          </w:p>
        </w:tc>
      </w:tr>
      <w:tr>
        <w:trPr>
          <w:trHeight w:val="23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Массовая доля сорбиновой кислоты, мг/кг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90,2±10,0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более 2000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 04-58-2009</w:t>
            </w:r>
          </w:p>
        </w:tc>
      </w:tr>
      <w:tr>
        <w:trPr>
          <w:trHeight w:val="259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Массовая доля бензойной кислоты, мг/кг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&lt;20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 04-58-2009</w:t>
            </w:r>
          </w:p>
        </w:tc>
      </w:tr>
    </w:tbl>
    <w:p>
      <w:pPr>
        <w:widowControl w:val="0"/>
        <w:spacing w:after="159" w:line="1" w:lineRule="exact"/>
      </w:pPr>
    </w:p>
    <w:p>
      <w:pPr>
        <w:widowControl w:val="0"/>
        <w:spacing w:line="1" w:lineRule="exact"/>
      </w:pPr>
    </w:p>
    <w:tbl>
      <w:tblPr>
        <w:tblOverlap w:val="never"/>
        <w:jc w:val="center"/>
        <w:tblLayout w:type="fixed"/>
      </w:tblPr>
      <w:tblGrid>
        <w:gridCol w:w="4128"/>
        <w:gridCol w:w="2285"/>
        <w:gridCol w:w="2126"/>
        <w:gridCol w:w="2016"/>
      </w:tblGrid>
      <w:tr>
        <w:trPr>
          <w:trHeight w:val="4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Наименование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показателя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Результат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Требования НД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НД на методы испытаний</w:t>
            </w:r>
          </w:p>
        </w:tc>
      </w:tr>
      <w:tr>
        <w:trPr>
          <w:trHeight w:val="216" w:hRule="exact"/>
        </w:trPr>
        <w:tc>
          <w:tcPr>
            <w:gridSpan w:val="4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Токсичные элементы, мг/кг:</w:t>
            </w:r>
          </w:p>
        </w:tc>
      </w:tr>
      <w:tr>
        <w:trPr>
          <w:trHeight w:val="20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 свинец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0,140±0,042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более 0,35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М-02-1702-20</w:t>
            </w:r>
          </w:p>
        </w:tc>
      </w:tr>
      <w:tr>
        <w:trPr>
          <w:trHeight w:val="211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 мышьяк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&lt;0,05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более 0,15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М-02-1702-20</w:t>
            </w:r>
          </w:p>
        </w:tc>
      </w:tr>
      <w:tr>
        <w:trPr>
          <w:trHeight w:val="197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 кадмий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0,003±0,001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более 0,07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М-02-1702-20</w:t>
            </w:r>
          </w:p>
        </w:tc>
      </w:tr>
      <w:tr>
        <w:trPr>
          <w:trHeight w:val="221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 ртуть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 0,002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более 0,015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Р 53183-2008</w:t>
            </w:r>
          </w:p>
        </w:tc>
      </w:tr>
      <w:tr>
        <w:trPr>
          <w:trHeight w:val="216" w:hRule="exact"/>
        </w:trPr>
        <w:tc>
          <w:tcPr>
            <w:gridSpan w:val="4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Пестициды, мг/кг:</w:t>
            </w:r>
          </w:p>
        </w:tc>
      </w:tr>
      <w:tr>
        <w:trPr>
          <w:trHeight w:val="23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 ГХЦГ(а, р, у - изомеры)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&lt;0,01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более 0,5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32689.3-2014</w:t>
            </w:r>
          </w:p>
        </w:tc>
      </w:tr>
      <w:tr>
        <w:trPr>
          <w:trHeight w:val="192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 ДДТ и его метаболиты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&lt;0,01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более 0,02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32689.3-2014</w:t>
            </w:r>
          </w:p>
        </w:tc>
      </w:tr>
      <w:tr>
        <w:trPr>
          <w:trHeight w:val="216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-гексахлорбензол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&lt;0,01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более 0,01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32689.3-2014</w:t>
            </w:r>
          </w:p>
        </w:tc>
      </w:tr>
      <w:tr>
        <w:trPr>
          <w:trHeight w:val="23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 ртутьорганические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&lt;0,01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допускаются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СТРК 2040-2010</w:t>
            </w:r>
          </w:p>
        </w:tc>
      </w:tr>
      <w:tr>
        <w:trPr>
          <w:trHeight w:val="230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- 2,4-Д кислота, ее соли, эфиры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&lt;0,02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допускаются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МУ 1541-76</w:t>
            </w:r>
          </w:p>
        </w:tc>
      </w:tr>
    </w:tbl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Примечание. Результаты физико-химических испытаний рассчитаны как среднее арифметическое двух параллельных определений, оценка неопределенности (погрешности) получена при доверительной вероятности 95%.</w:t>
      </w:r>
    </w:p>
    <w:p>
      <w:pPr>
        <w:widowControl w:val="0"/>
        <w:spacing w:after="159" w:line="1" w:lineRule="exact"/>
      </w:pPr>
    </w:p>
    <w:p>
      <w:pPr>
        <w:pStyle w:val="Style23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tabs>
          <w:tab w:leader="underscore" w:pos="4610" w:val="left"/>
        </w:tabs>
        <w:bidi w:val="0"/>
        <w:spacing w:before="0"/>
        <w:ind w:right="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Данная проба по исследованным показателям отвечает / не отвечает требованиям ТР ТС 021/2011 «О безопасности пищевой продукции» утв. Решением КТС от Санитарный врач _(</w:t>
        <w:tab/>
      </w:r>
      <w:r>
        <w:rPr>
          <w:spacing w:val="0"/>
          <w:w w:val="100"/>
          <w:position w:val="0"/>
          <w:shd w:val="clear" w:color="auto" w:fill="auto"/>
          <w:vertAlign w:val="subscript"/>
          <w:lang w:val="ru-RU" w:eastAsia="ru-RU" w:bidi="ru-RU"/>
        </w:rPr>
        <w:t>(</w:t>
      </w:r>
    </w:p>
    <w:p>
      <w:pPr>
        <w:pStyle w:val="Style25"/>
        <w:keepNext w:val="0"/>
        <w:keepLines w:val="0"/>
        <w:widowControl w:val="0"/>
        <w:shd w:val="clear" w:color="auto" w:fill="auto"/>
        <w:tabs>
          <w:tab w:pos="2227" w:val="left"/>
          <w:tab w:leader="underscore" w:pos="4877" w:val="left"/>
          <w:tab w:leader="underscore" w:pos="5280" w:val="left"/>
          <w:tab w:leader="underscore" w:pos="5981" w:val="left"/>
          <w:tab w:leader="underscore" w:pos="6158" w:val="left"/>
          <w:tab w:leader="underscore" w:pos="904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Протокол № 13432/23-Д</w:t>
      </w:r>
      <w:r>
        <w:rPr>
          <w:color w:val="000000"/>
          <w:spacing w:val="0"/>
          <w:w w:val="100"/>
          <w:position w:val="0"/>
          <w:u w:val="none"/>
          <w:shd w:val="clear" w:color="auto" w:fill="auto"/>
          <w:lang w:val="ru-RU" w:eastAsia="ru-RU" w:bidi="ru-RU"/>
        </w:rPr>
        <w:tab/>
        <w:tab/>
        <w:tab/>
        <w:tab/>
        <w:tab/>
        <w:tab/>
        <w:t xml:space="preserve"> </w:t>
      </w:r>
      <w:r>
        <w:rPr>
          <w:strike/>
          <w:color w:val="000000"/>
          <w:spacing w:val="0"/>
          <w:w w:val="100"/>
          <w:position w:val="0"/>
          <w:u w:val="none"/>
          <w:shd w:val="clear" w:color="auto" w:fill="auto"/>
          <w:lang w:val="ru-RU" w:eastAsia="ru-RU" w:bidi="ru-RU"/>
        </w:rPr>
        <w:t>Страница 3 из 4—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© Запрещается воспроизведение протокола не в полном объеме без разрешения ООО «ЛИГА-СЕРТ»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83" w:lineRule="auto"/>
        <w:ind w:left="360" w:right="0" w:hanging="1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© Испытательная лаборатория несет ответственность за всю информацию, представленную в протоколе испытаний, за исключением случаев, когда информация предоставляется заказчиком.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60" w:line="218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© Любые исправления и дополнения после выпуска протокола оформляются только отдельным документом.</w:t>
      </w: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539" w:left="513" w:right="583" w:bottom="245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6291580</wp:posOffset>
              </wp:positionH>
              <wp:positionV relativeFrom="page">
                <wp:posOffset>180975</wp:posOffset>
              </wp:positionV>
              <wp:extent cx="762000" cy="10033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62000" cy="1003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ru-RU" w:eastAsia="ru-RU" w:bidi="ru-RU"/>
                            </w:rPr>
                            <w:t>Ф 1-28/05-2023-Д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495.39999999999998pt;margin-top:14.25pt;width:60.pt;height:7.9000000000000004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ru-RU" w:eastAsia="ru-RU" w:bidi="ru-RU"/>
                      </w:rPr>
                      <w:t>Ф 1-28/05-2023-Д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ru-RU" w:eastAsia="ru-RU" w:bidi="ru-RU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ru-RU" w:eastAsia="ru-RU" w:bidi="ru-RU"/>
    </w:rPr>
  </w:style>
  <w:style w:type="character" w:customStyle="1" w:styleId="CharStyle3">
    <w:name w:val="Основной текст (5)_"/>
    <w:basedOn w:val="DefaultParagraphFont"/>
    <w:link w:val="Style2"/>
    <w:rPr>
      <w:rFonts w:ascii="Verdana" w:eastAsia="Verdana" w:hAnsi="Verdana" w:cs="Verdana"/>
      <w:b/>
      <w:bCs/>
      <w:i/>
      <w:iCs/>
      <w:smallCaps w:val="0"/>
      <w:strike w:val="0"/>
      <w:sz w:val="44"/>
      <w:szCs w:val="44"/>
      <w:u w:val="single"/>
    </w:rPr>
  </w:style>
  <w:style w:type="character" w:customStyle="1" w:styleId="CharStyle5">
    <w:name w:val="Основной текст (3)_"/>
    <w:basedOn w:val="DefaultParagraphFont"/>
    <w:link w:val="Style4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7">
    <w:name w:val="Основной текст_"/>
    <w:basedOn w:val="DefaultParagraphFont"/>
    <w:link w:val="Style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10">
    <w:name w:val="Колонтитул (2)_"/>
    <w:basedOn w:val="DefaultParagraphFont"/>
    <w:link w:val="Styl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4">
    <w:name w:val="Другое_"/>
    <w:basedOn w:val="DefaultParagraphFont"/>
    <w:link w:val="Style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7">
    <w:name w:val="Подпись к таблице_"/>
    <w:basedOn w:val="DefaultParagraphFont"/>
    <w:link w:val="Style1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24">
    <w:name w:val="Основной текст (2)_"/>
    <w:basedOn w:val="DefaultParagraphFont"/>
    <w:link w:val="Style23"/>
    <w:rPr>
      <w:rFonts w:ascii="Arial" w:eastAsia="Arial" w:hAnsi="Arial" w:cs="Arial"/>
      <w:b w:val="0"/>
      <w:bCs w:val="0"/>
      <w:i w:val="0"/>
      <w:iCs w:val="0"/>
      <w:smallCaps w:val="0"/>
      <w:strike w:val="0"/>
      <w:color w:val="131779"/>
      <w:sz w:val="12"/>
      <w:szCs w:val="12"/>
      <w:u w:val="none"/>
    </w:rPr>
  </w:style>
  <w:style w:type="character" w:customStyle="1" w:styleId="CharStyle26">
    <w:name w:val="Основной текст (4)_"/>
    <w:basedOn w:val="DefaultParagraphFont"/>
    <w:link w:val="Style2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single"/>
    </w:rPr>
  </w:style>
  <w:style w:type="paragraph" w:customStyle="1" w:styleId="Style2">
    <w:name w:val="Основной текст (5)"/>
    <w:basedOn w:val="Normal"/>
    <w:link w:val="CharStyle3"/>
    <w:pPr>
      <w:widowControl w:val="0"/>
      <w:shd w:val="clear" w:color="auto" w:fill="FFFFFF"/>
      <w:spacing w:after="20"/>
      <w:jc w:val="center"/>
    </w:pPr>
    <w:rPr>
      <w:rFonts w:ascii="Verdana" w:eastAsia="Verdana" w:hAnsi="Verdana" w:cs="Verdana"/>
      <w:b/>
      <w:bCs/>
      <w:i/>
      <w:iCs/>
      <w:smallCaps w:val="0"/>
      <w:strike w:val="0"/>
      <w:sz w:val="44"/>
      <w:szCs w:val="44"/>
      <w:u w:val="single"/>
    </w:rPr>
  </w:style>
  <w:style w:type="paragraph" w:customStyle="1" w:styleId="Style4">
    <w:name w:val="Основной текст (3)"/>
    <w:basedOn w:val="Normal"/>
    <w:link w:val="CharStyle5"/>
    <w:pPr>
      <w:widowControl w:val="0"/>
      <w:shd w:val="clear" w:color="auto" w:fill="FFFFFF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6">
    <w:name w:val="Основной текст"/>
    <w:basedOn w:val="Normal"/>
    <w:link w:val="CharStyle7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9">
    <w:name w:val="Колонтитул (2)"/>
    <w:basedOn w:val="Normal"/>
    <w:link w:val="CharStyle10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3">
    <w:name w:val="Другое"/>
    <w:basedOn w:val="Normal"/>
    <w:link w:val="CharStyle14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6">
    <w:name w:val="Подпись к таблице"/>
    <w:basedOn w:val="Normal"/>
    <w:link w:val="CharStyle17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23">
    <w:name w:val="Основной текст (2)"/>
    <w:basedOn w:val="Normal"/>
    <w:link w:val="CharStyle24"/>
    <w:pPr>
      <w:widowControl w:val="0"/>
      <w:shd w:val="clear" w:color="auto" w:fill="FFFFFF"/>
      <w:spacing w:after="300" w:line="384" w:lineRule="auto"/>
      <w:ind w:left="3280" w:firstLine="20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131779"/>
      <w:sz w:val="12"/>
      <w:szCs w:val="12"/>
      <w:u w:val="none"/>
    </w:rPr>
  </w:style>
  <w:style w:type="paragraph" w:customStyle="1" w:styleId="Style25">
    <w:name w:val="Основной текст (4)"/>
    <w:basedOn w:val="Normal"/>
    <w:link w:val="CharStyle26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</file>